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E83F42">
      <w:pPr>
        <w:jc w:val="center"/>
        <w:rPr>
          <w:rFonts w:ascii="宋体" w:hAnsi="宋体" w:eastAsia="宋体" w:cs="宋体"/>
          <w:sz w:val="36"/>
          <w:szCs w:val="36"/>
        </w:rPr>
      </w:pPr>
      <w:r>
        <w:rPr>
          <w:rFonts w:hint="eastAsia" w:ascii="宋体" w:hAnsi="宋体" w:eastAsia="宋体" w:cs="宋体"/>
          <w:sz w:val="36"/>
          <w:szCs w:val="36"/>
        </w:rPr>
        <w:t>基金产品或者服务风险等级划分</w:t>
      </w:r>
      <w:bookmarkStart w:id="0" w:name="_GoBack"/>
      <w:bookmarkEnd w:id="0"/>
      <w:r>
        <w:rPr>
          <w:rFonts w:hint="eastAsia" w:ascii="宋体" w:hAnsi="宋体" w:eastAsia="宋体" w:cs="宋体"/>
          <w:sz w:val="36"/>
          <w:szCs w:val="36"/>
        </w:rPr>
        <w:t>方法及其说明</w:t>
      </w:r>
    </w:p>
    <w:p w14:paraId="03970600">
      <w:pPr>
        <w:ind w:firstLine="420" w:firstLineChars="200"/>
        <w:rPr>
          <w:rFonts w:hint="eastAsia" w:ascii="宋体" w:hAnsi="宋体" w:eastAsia="宋体" w:cs="宋体"/>
          <w:szCs w:val="21"/>
        </w:rPr>
      </w:pPr>
    </w:p>
    <w:p w14:paraId="6EC61DE8">
      <w:pPr>
        <w:ind w:firstLine="420" w:firstLineChars="200"/>
        <w:rPr>
          <w:rFonts w:ascii="宋体" w:hAnsi="宋体" w:eastAsia="宋体" w:cs="宋体"/>
          <w:szCs w:val="21"/>
        </w:rPr>
      </w:pPr>
      <w:r>
        <w:rPr>
          <w:rFonts w:hint="eastAsia" w:ascii="宋体" w:hAnsi="宋体" w:eastAsia="宋体" w:cs="宋体"/>
          <w:szCs w:val="21"/>
        </w:rPr>
        <w:t>方正中期期货</w:t>
      </w:r>
      <w:r>
        <w:rPr>
          <w:rFonts w:hint="eastAsia" w:ascii="宋体" w:hAnsi="宋体" w:eastAsia="宋体" w:cs="宋体"/>
          <w:szCs w:val="21"/>
          <w:lang w:val="en-US" w:eastAsia="zh-CN"/>
        </w:rPr>
        <w:t>有限公司</w:t>
      </w:r>
      <w:r>
        <w:rPr>
          <w:rFonts w:hint="eastAsia" w:ascii="宋体" w:hAnsi="宋体" w:eastAsia="宋体" w:cs="宋体"/>
          <w:szCs w:val="21"/>
        </w:rPr>
        <w:t>制定了《方正中期期货有限公司产品（服务）分级评估细则》</w:t>
      </w:r>
      <w:r>
        <w:rPr>
          <w:rFonts w:hint="eastAsia" w:ascii="宋体" w:hAnsi="宋体" w:eastAsia="宋体" w:cs="宋体"/>
          <w:szCs w:val="21"/>
          <w:lang w:val="en-US" w:eastAsia="zh-CN"/>
        </w:rPr>
        <w:t>《方正中期期货有限公司金融产品销售投资者适当性管理细则》</w:t>
      </w:r>
      <w:r>
        <w:rPr>
          <w:rFonts w:hint="eastAsia" w:ascii="宋体" w:hAnsi="宋体" w:eastAsia="宋体" w:cs="宋体"/>
          <w:szCs w:val="21"/>
        </w:rPr>
        <w:t>，规范向投资者所销售基金产品或者所提供服务的适当性风险分级工作。</w:t>
      </w:r>
    </w:p>
    <w:p w14:paraId="3D919BA9">
      <w:pPr>
        <w:rPr>
          <w:rFonts w:ascii="宋体" w:hAnsi="宋体" w:eastAsia="宋体" w:cs="宋体"/>
          <w:szCs w:val="21"/>
        </w:rPr>
      </w:pPr>
    </w:p>
    <w:p w14:paraId="4219A3E5">
      <w:pPr>
        <w:ind w:firstLine="420" w:firstLineChars="200"/>
        <w:rPr>
          <w:rFonts w:ascii="宋体" w:hAnsi="宋体" w:eastAsia="宋体" w:cs="宋体"/>
          <w:szCs w:val="21"/>
        </w:rPr>
      </w:pPr>
      <w:r>
        <w:rPr>
          <w:rFonts w:hint="eastAsia" w:ascii="宋体" w:hAnsi="宋体" w:eastAsia="宋体" w:cs="宋体"/>
          <w:szCs w:val="21"/>
        </w:rPr>
        <w:t>【风险等级】</w:t>
      </w:r>
    </w:p>
    <w:p w14:paraId="5BDFD988">
      <w:pPr>
        <w:ind w:firstLine="420" w:firstLineChars="200"/>
        <w:rPr>
          <w:rFonts w:ascii="宋体" w:hAnsi="宋体" w:eastAsia="宋体" w:cs="宋体"/>
          <w:szCs w:val="21"/>
        </w:rPr>
      </w:pPr>
      <w:r>
        <w:rPr>
          <w:rFonts w:hint="eastAsia" w:ascii="宋体" w:hAnsi="宋体" w:eastAsia="宋体" w:cs="宋体"/>
          <w:szCs w:val="21"/>
        </w:rPr>
        <w:t>本公司</w:t>
      </w:r>
      <w:r>
        <w:rPr>
          <w:rFonts w:hint="eastAsia" w:ascii="宋体" w:hAnsi="宋体" w:eastAsia="宋体" w:cs="宋体"/>
          <w:szCs w:val="21"/>
          <w:lang w:val="en-US" w:eastAsia="zh-CN"/>
        </w:rPr>
        <w:t>根据所销售金融产品的风险特征和程度，将金融产品风险等级</w:t>
      </w:r>
      <w:r>
        <w:rPr>
          <w:rFonts w:hint="eastAsia" w:ascii="宋体" w:hAnsi="宋体" w:eastAsia="宋体" w:cs="宋体"/>
          <w:szCs w:val="21"/>
        </w:rPr>
        <w:t>由低至高划分为五个风险等级∶R1、R2、R3、R4、R5。</w:t>
      </w:r>
    </w:p>
    <w:p w14:paraId="362A01AC">
      <w:pPr>
        <w:ind w:firstLine="420" w:firstLineChars="200"/>
        <w:rPr>
          <w:rFonts w:ascii="宋体" w:hAnsi="宋体" w:eastAsia="宋体" w:cs="宋体"/>
          <w:szCs w:val="21"/>
        </w:rPr>
      </w:pPr>
      <w:r>
        <w:rPr>
          <w:rFonts w:hint="eastAsia" w:ascii="宋体" w:hAnsi="宋体" w:eastAsia="宋体" w:cs="宋体"/>
          <w:szCs w:val="21"/>
        </w:rPr>
        <w:t>【风险等级划分方法及其说明】</w:t>
      </w:r>
    </w:p>
    <w:p w14:paraId="75B36D97">
      <w:pPr>
        <w:ind w:firstLine="420" w:firstLineChars="200"/>
        <w:rPr>
          <w:rFonts w:ascii="宋体" w:hAnsi="宋体" w:eastAsia="宋体" w:cs="宋体"/>
          <w:szCs w:val="21"/>
        </w:rPr>
      </w:pPr>
      <w:r>
        <w:rPr>
          <w:rFonts w:hint="eastAsia" w:ascii="宋体" w:hAnsi="宋体" w:eastAsia="宋体" w:cs="宋体"/>
          <w:szCs w:val="21"/>
        </w:rPr>
        <w:t>本公司销售的</w:t>
      </w:r>
      <w:r>
        <w:rPr>
          <w:rFonts w:hint="eastAsia" w:ascii="宋体" w:hAnsi="宋体" w:eastAsia="宋体" w:cs="宋体"/>
          <w:szCs w:val="21"/>
          <w:lang w:val="en-US" w:eastAsia="zh-CN"/>
        </w:rPr>
        <w:t>金</w:t>
      </w:r>
      <w:r>
        <w:rPr>
          <w:rFonts w:hint="eastAsia"/>
          <w:lang w:val="en-US" w:eastAsia="zh-CN"/>
        </w:rPr>
        <w:t>融产品</w:t>
      </w:r>
      <w:r>
        <w:t>由风险</w:t>
      </w:r>
      <w:r>
        <w:rPr>
          <w:rFonts w:hint="eastAsia"/>
          <w:lang w:val="en-US" w:eastAsia="zh-CN"/>
        </w:rPr>
        <w:t>评估和等级划分的相关部门</w:t>
      </w:r>
      <w:r>
        <w:t>进行</w:t>
      </w:r>
      <w:r>
        <w:rPr>
          <w:rFonts w:hint="eastAsia"/>
          <w:lang w:val="en-US" w:eastAsia="zh-CN"/>
        </w:rPr>
        <w:t>评估</w:t>
      </w:r>
      <w:r>
        <w:rPr>
          <w:rFonts w:hint="eastAsia"/>
          <w:lang w:eastAsia="zh-CN"/>
        </w:rPr>
        <w:t>，</w:t>
      </w:r>
      <w:r>
        <w:rPr>
          <w:rFonts w:hint="eastAsia"/>
          <w:lang w:val="en-US" w:eastAsia="zh-CN"/>
        </w:rPr>
        <w:t>最终评定</w:t>
      </w:r>
      <w:r>
        <w:t>确定的风险等级与基金</w:t>
      </w:r>
      <w:r>
        <w:rPr>
          <w:rFonts w:hint="eastAsia"/>
          <w:lang w:val="en-US" w:eastAsia="zh-CN"/>
        </w:rPr>
        <w:t>管理人</w:t>
      </w:r>
      <w:r>
        <w:t>评级进行比对，以两者中风险较高的评级为准</w:t>
      </w:r>
      <w:r>
        <w:rPr>
          <w:rFonts w:hint="eastAsia"/>
        </w:rPr>
        <w:t>。</w:t>
      </w:r>
      <w:r>
        <w:rPr>
          <w:rFonts w:hint="eastAsia" w:asciiTheme="minorHAnsi" w:hAnsiTheme="minorHAnsi" w:eastAsiaTheme="minorEastAsia" w:cstheme="minorBidi"/>
          <w:bCs w:val="0"/>
          <w:sz w:val="21"/>
          <w:szCs w:val="24"/>
        </w:rPr>
        <w:t>公司代销的金融产品风险等级评价结果不得低于基金管理人作出的风险等级评价结果。</w:t>
      </w:r>
    </w:p>
    <w:p w14:paraId="2D3C60F8">
      <w:pPr>
        <w:ind w:firstLine="420" w:firstLineChars="200"/>
        <w:rPr>
          <w:rFonts w:ascii="宋体" w:hAnsi="宋体" w:eastAsia="宋体" w:cs="宋体"/>
          <w:szCs w:val="21"/>
        </w:rPr>
      </w:pPr>
      <w:r>
        <w:rPr>
          <w:rFonts w:hint="eastAsia" w:ascii="宋体" w:hAnsi="宋体" w:eastAsia="宋体" w:cs="宋体"/>
          <w:szCs w:val="21"/>
        </w:rPr>
        <w:t>本公司风险评估和等级划分的相关部门</w:t>
      </w:r>
      <w:r>
        <w:t>了解所销售产品或者所提供服务的信息，综合考虑流动性、到期 时限、杠杆情况、结构复杂性、投资方向和投资范围、募集方式、发行人等相关主体的 信用状况、同类产品或者服务过往业绩等因素，根据风险特征和 程度评估划分风险等级，并持续关注、更新产品风险等级变化</w:t>
      </w:r>
      <w:r>
        <w:rPr>
          <w:rFonts w:hint="eastAsia"/>
        </w:rPr>
        <w:t>。</w:t>
      </w:r>
    </w:p>
    <w:p w14:paraId="5E9FC19F">
      <w:pPr>
        <w:ind w:firstLine="420" w:firstLineChars="200"/>
        <w:rPr>
          <w:rFonts w:ascii="宋体" w:hAnsi="宋体" w:eastAsia="宋体" w:cs="宋体"/>
          <w:szCs w:val="21"/>
        </w:rPr>
      </w:pPr>
      <w:r>
        <w:rPr>
          <w:rFonts w:hint="eastAsia" w:ascii="宋体" w:hAnsi="宋体" w:eastAsia="宋体" w:cs="宋体"/>
          <w:szCs w:val="21"/>
          <w:shd w:val="clear" w:color="auto" w:fill="FFFFFF"/>
          <w:lang w:val="en-US" w:eastAsia="zh-CN"/>
        </w:rPr>
        <w:t>金融</w:t>
      </w:r>
      <w:r>
        <w:rPr>
          <w:rFonts w:hint="eastAsia" w:ascii="宋体" w:hAnsi="宋体" w:eastAsia="宋体" w:cs="宋体"/>
          <w:szCs w:val="21"/>
          <w:shd w:val="clear" w:color="auto" w:fill="FFFFFF"/>
        </w:rPr>
        <w:t>产品或者服务存在下列因素的，本公司审慎评估其风险等级：</w:t>
      </w:r>
    </w:p>
    <w:p w14:paraId="58FCB9DB">
      <w:pPr>
        <w:ind w:firstLine="420" w:firstLineChars="200"/>
        <w:rPr>
          <w:rFonts w:hint="eastAsia"/>
          <w:lang w:eastAsia="zh-CN"/>
        </w:rPr>
      </w:pPr>
      <w:r>
        <w:rPr>
          <w:rFonts w:hint="eastAsia"/>
          <w:lang w:eastAsia="zh-CN"/>
        </w:rPr>
        <w:t>（一）存在本金损失的可能性，因杠杆交易等因素容易导致本金大部分或者全部损失的产品或者服务；</w:t>
      </w:r>
    </w:p>
    <w:p w14:paraId="0B25E8AD">
      <w:pPr>
        <w:ind w:firstLine="420" w:firstLineChars="200"/>
        <w:rPr>
          <w:rFonts w:hint="eastAsia"/>
          <w:lang w:eastAsia="zh-CN"/>
        </w:rPr>
      </w:pPr>
      <w:r>
        <w:rPr>
          <w:rFonts w:hint="eastAsia"/>
          <w:lang w:eastAsia="zh-CN"/>
        </w:rPr>
        <w:t>（二）产品或者服务的流动变现能力，因无公开交易市场、存在非标准资产投资、参与投资者少等因素导致难以在短期内以合理价格顺利变现的产品或者服务；</w:t>
      </w:r>
    </w:p>
    <w:p w14:paraId="72EC026D">
      <w:pPr>
        <w:ind w:firstLine="420" w:firstLineChars="200"/>
        <w:rPr>
          <w:rFonts w:hint="eastAsia"/>
          <w:lang w:eastAsia="zh-CN"/>
        </w:rPr>
      </w:pPr>
      <w:r>
        <w:rPr>
          <w:rFonts w:hint="eastAsia"/>
          <w:lang w:eastAsia="zh-CN"/>
        </w:rPr>
        <w:t>（三）产品或者服务合同存在特殊免责条款、结构性安排、投资标的具有衍生品性质等，导致普通投资者难以理解其条款和特征的产品或者服务；</w:t>
      </w:r>
    </w:p>
    <w:p w14:paraId="79B48CF8">
      <w:pPr>
        <w:ind w:firstLine="420" w:firstLineChars="200"/>
        <w:rPr>
          <w:rFonts w:hint="eastAsia"/>
          <w:lang w:eastAsia="zh-CN"/>
        </w:rPr>
      </w:pPr>
      <w:r>
        <w:rPr>
          <w:rFonts w:hint="eastAsia"/>
          <w:lang w:eastAsia="zh-CN"/>
        </w:rPr>
        <w:t>（四）产品或者服务的募集方式，涉及面广、影响力大，可能触发巨额赎回，易引发群体事件的公募产品或者相关服务；</w:t>
      </w:r>
    </w:p>
    <w:p w14:paraId="1F0991CE">
      <w:pPr>
        <w:ind w:firstLine="420" w:firstLineChars="200"/>
        <w:rPr>
          <w:rFonts w:hint="eastAsia"/>
          <w:lang w:eastAsia="zh-CN"/>
        </w:rPr>
      </w:pPr>
      <w:r>
        <w:rPr>
          <w:rFonts w:hint="eastAsia"/>
          <w:lang w:eastAsia="zh-CN"/>
        </w:rPr>
        <w:t>（五）产品或者服务的跨境因素，存在市场差异、适用境外法律等情形的跨境发行或者交易的产品或者服务；</w:t>
      </w:r>
    </w:p>
    <w:p w14:paraId="1B5B4786">
      <w:pPr>
        <w:ind w:firstLine="420" w:firstLineChars="200"/>
        <w:rPr>
          <w:rFonts w:hint="eastAsia"/>
          <w:lang w:eastAsia="zh-CN"/>
        </w:rPr>
      </w:pPr>
      <w:r>
        <w:rPr>
          <w:rFonts w:hint="eastAsia"/>
          <w:lang w:eastAsia="zh-CN"/>
        </w:rPr>
        <w:t>（六）产品投资杠杆达到相关要求上限、投资单一标的集中度较高的；</w:t>
      </w:r>
    </w:p>
    <w:p w14:paraId="69AB0972">
      <w:pPr>
        <w:numPr>
          <w:ilvl w:val="-1"/>
          <w:numId w:val="0"/>
        </w:numPr>
        <w:ind w:firstLine="420" w:firstLineChars="200"/>
        <w:rPr>
          <w:rFonts w:hint="eastAsia"/>
          <w:lang w:eastAsia="zh-CN"/>
        </w:rPr>
      </w:pPr>
      <w:r>
        <w:rPr>
          <w:rFonts w:hint="eastAsia"/>
          <w:lang w:eastAsia="zh-CN"/>
        </w:rPr>
        <w:t>（</w:t>
      </w:r>
      <w:r>
        <w:rPr>
          <w:rFonts w:hint="eastAsia"/>
          <w:lang w:val="en-US" w:eastAsia="zh-CN"/>
        </w:rPr>
        <w:t>七）</w:t>
      </w:r>
      <w:r>
        <w:rPr>
          <w:rFonts w:hint="eastAsia"/>
          <w:lang w:eastAsia="zh-CN"/>
        </w:rPr>
        <w:t>监管部门、自律组织认定的高风险产品或者服务；</w:t>
      </w:r>
    </w:p>
    <w:p w14:paraId="2CB0763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2" w:lineRule="atLeast"/>
        <w:ind w:right="0" w:firstLine="420" w:firstLineChars="200"/>
        <w:jc w:val="left"/>
        <w:rPr>
          <w:rFonts w:hint="eastAsia" w:ascii="宋体" w:hAnsi="宋体" w:eastAsia="宋体" w:cs="宋体"/>
          <w:i w:val="0"/>
          <w:iCs w:val="0"/>
          <w:caps w:val="0"/>
          <w:color w:val="auto"/>
          <w:spacing w:val="0"/>
          <w:sz w:val="21"/>
          <w:szCs w:val="21"/>
        </w:rPr>
      </w:pPr>
      <w:r>
        <w:rPr>
          <w:rFonts w:hint="eastAsia" w:ascii="宋体" w:hAnsi="宋体" w:eastAsia="宋体" w:cs="宋体"/>
          <w:i w:val="0"/>
          <w:iCs w:val="0"/>
          <w:caps w:val="0"/>
          <w:color w:val="auto"/>
          <w:spacing w:val="0"/>
          <w:sz w:val="21"/>
          <w:szCs w:val="21"/>
          <w:shd w:val="clear" w:fill="FFFFFF"/>
        </w:rPr>
        <w:t>（八）基金管理人、实际控制人、高管人员涉嫌重大违法违规行为或正在接受监管部门或自律管理部门调查的；</w:t>
      </w:r>
    </w:p>
    <w:p w14:paraId="3042BE2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2" w:lineRule="atLeast"/>
        <w:ind w:right="0" w:firstLine="420" w:firstLineChars="200"/>
        <w:jc w:val="left"/>
        <w:rPr>
          <w:rFonts w:hint="eastAsia" w:ascii="宋体" w:hAnsi="宋体" w:eastAsia="宋体" w:cs="宋体"/>
          <w:i w:val="0"/>
          <w:iCs w:val="0"/>
          <w:caps w:val="0"/>
          <w:color w:val="auto"/>
          <w:spacing w:val="0"/>
          <w:sz w:val="21"/>
          <w:szCs w:val="21"/>
          <w:shd w:val="clear" w:fill="FFFFFF"/>
        </w:rPr>
      </w:pPr>
      <w:r>
        <w:rPr>
          <w:rFonts w:hint="eastAsia" w:ascii="宋体" w:hAnsi="宋体" w:eastAsia="宋体" w:cs="宋体"/>
          <w:i w:val="0"/>
          <w:iCs w:val="0"/>
          <w:caps w:val="0"/>
          <w:color w:val="auto"/>
          <w:spacing w:val="0"/>
          <w:sz w:val="21"/>
          <w:szCs w:val="21"/>
          <w:shd w:val="clear" w:fill="FFFFFF"/>
        </w:rPr>
        <w:t>（</w:t>
      </w:r>
      <w:r>
        <w:rPr>
          <w:rFonts w:hint="eastAsia" w:ascii="宋体" w:hAnsi="宋体" w:eastAsia="宋体" w:cs="宋体"/>
          <w:i w:val="0"/>
          <w:iCs w:val="0"/>
          <w:caps w:val="0"/>
          <w:color w:val="auto"/>
          <w:spacing w:val="0"/>
          <w:sz w:val="21"/>
          <w:szCs w:val="21"/>
          <w:shd w:val="clear" w:fill="FFFFFF"/>
          <w:lang w:val="en-US" w:eastAsia="zh-CN"/>
        </w:rPr>
        <w:t>九</w:t>
      </w:r>
      <w:r>
        <w:rPr>
          <w:rFonts w:hint="eastAsia" w:ascii="宋体" w:hAnsi="宋体" w:eastAsia="宋体" w:cs="宋体"/>
          <w:i w:val="0"/>
          <w:iCs w:val="0"/>
          <w:caps w:val="0"/>
          <w:color w:val="auto"/>
          <w:spacing w:val="0"/>
          <w:sz w:val="21"/>
          <w:szCs w:val="21"/>
          <w:shd w:val="clear" w:fill="FFFFFF"/>
        </w:rPr>
        <w:t>）其他有可能构成投资风险的因素</w:t>
      </w:r>
      <w:r>
        <w:rPr>
          <w:rFonts w:hint="eastAsia" w:ascii="宋体" w:hAnsi="宋体" w:eastAsia="宋体" w:cs="宋体"/>
          <w:i w:val="0"/>
          <w:iCs w:val="0"/>
          <w:caps w:val="0"/>
          <w:color w:val="auto"/>
          <w:spacing w:val="0"/>
          <w:sz w:val="21"/>
          <w:szCs w:val="21"/>
          <w:shd w:val="clear" w:fill="FFFFFF"/>
          <w:lang w:eastAsia="zh-CN"/>
        </w:rPr>
        <w:t>，</w:t>
      </w:r>
      <w:r>
        <w:rPr>
          <w:rFonts w:hint="eastAsia" w:ascii="宋体" w:hAnsi="宋体" w:eastAsia="宋体" w:cs="宋体"/>
          <w:i w:val="0"/>
          <w:iCs w:val="0"/>
          <w:caps w:val="0"/>
          <w:color w:val="auto"/>
          <w:spacing w:val="0"/>
          <w:sz w:val="21"/>
          <w:szCs w:val="21"/>
          <w:shd w:val="clear" w:fill="FFFFFF"/>
          <w:lang w:val="en-US" w:eastAsia="zh-CN"/>
        </w:rPr>
        <w:t>影响投资者利益的重要事项</w:t>
      </w:r>
      <w:r>
        <w:rPr>
          <w:rFonts w:hint="eastAsia" w:ascii="宋体" w:hAnsi="宋体" w:eastAsia="宋体" w:cs="宋体"/>
          <w:i w:val="0"/>
          <w:iCs w:val="0"/>
          <w:caps w:val="0"/>
          <w:color w:val="auto"/>
          <w:spacing w:val="0"/>
          <w:sz w:val="21"/>
          <w:szCs w:val="21"/>
          <w:shd w:val="clear" w:fill="FFFFFF"/>
        </w:rPr>
        <w:t>。</w:t>
      </w:r>
    </w:p>
    <w:p w14:paraId="4371129E">
      <w:pPr>
        <w:pStyle w:val="4"/>
        <w:widowControl/>
        <w:shd w:val="clear" w:color="auto" w:fill="FFFFFF"/>
        <w:spacing w:beforeAutospacing="0" w:afterAutospacing="0" w:line="252" w:lineRule="atLeast"/>
        <w:jc w:val="center"/>
        <w:rPr>
          <w:rFonts w:hint="eastAsia" w:ascii="宋体" w:hAnsi="宋体" w:eastAsia="宋体" w:cs="宋体"/>
          <w:sz w:val="21"/>
          <w:szCs w:val="21"/>
          <w:shd w:val="clear" w:color="auto" w:fill="FFFFFF"/>
        </w:rPr>
      </w:pPr>
    </w:p>
    <w:p w14:paraId="71F7CB02">
      <w:pPr>
        <w:pStyle w:val="4"/>
        <w:widowControl/>
        <w:shd w:val="clear" w:color="auto" w:fill="FFFFFF"/>
        <w:spacing w:beforeAutospacing="0" w:afterAutospacing="0" w:line="252" w:lineRule="atLeast"/>
        <w:jc w:val="center"/>
        <w:rPr>
          <w:rFonts w:hint="eastAsia" w:ascii="宋体" w:hAnsi="宋体" w:eastAsia="宋体" w:cs="宋体"/>
          <w:b/>
          <w:bCs/>
          <w:sz w:val="21"/>
          <w:szCs w:val="21"/>
          <w:shd w:val="clear" w:color="auto" w:fill="FFFFFF"/>
        </w:rPr>
      </w:pPr>
      <w:r>
        <w:rPr>
          <w:rFonts w:hint="eastAsia" w:ascii="宋体" w:hAnsi="宋体" w:eastAsia="宋体" w:cs="宋体"/>
          <w:b/>
          <w:bCs/>
          <w:sz w:val="21"/>
          <w:szCs w:val="21"/>
          <w:shd w:val="clear" w:color="auto" w:fill="FFFFFF"/>
        </w:rPr>
        <w:t>产品或服务风险等级名录</w:t>
      </w:r>
    </w:p>
    <w:p w14:paraId="0F4AC106">
      <w:pPr>
        <w:pStyle w:val="4"/>
        <w:widowControl/>
        <w:shd w:val="clear" w:color="auto" w:fill="FFFFFF"/>
        <w:spacing w:beforeAutospacing="0" w:afterAutospacing="0" w:line="252" w:lineRule="atLeast"/>
        <w:jc w:val="center"/>
        <w:rPr>
          <w:rFonts w:hint="default" w:ascii="宋体" w:hAnsi="宋体" w:eastAsia="宋体" w:cs="宋体"/>
          <w:sz w:val="21"/>
          <w:szCs w:val="21"/>
          <w:shd w:val="clear" w:color="auto" w:fill="FFFFFF"/>
          <w:lang w:val="en-US" w:eastAsia="zh-CN"/>
        </w:rPr>
      </w:pPr>
      <w:r>
        <w:rPr>
          <w:rFonts w:hint="eastAsia" w:ascii="宋体" w:hAnsi="宋体" w:eastAsia="宋体" w:cs="宋体"/>
          <w:sz w:val="21"/>
          <w:szCs w:val="21"/>
          <w:shd w:val="clear" w:color="auto" w:fill="FFFFFF"/>
          <w:lang w:eastAsia="zh-CN"/>
        </w:rPr>
        <w:t>（</w:t>
      </w:r>
      <w:r>
        <w:rPr>
          <w:rFonts w:hint="eastAsia" w:ascii="宋体" w:hAnsi="宋体" w:eastAsia="宋体" w:cs="宋体"/>
          <w:sz w:val="21"/>
          <w:szCs w:val="21"/>
          <w:shd w:val="clear" w:color="auto" w:fill="FFFFFF"/>
          <w:lang w:val="en-US" w:eastAsia="zh-CN"/>
        </w:rPr>
        <w:t>参考中国基金业协会标准制定）</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7026"/>
      </w:tblGrid>
      <w:tr w14:paraId="542F1A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272" w:type="dxa"/>
          </w:tcPr>
          <w:p w14:paraId="3720C553">
            <w:pPr>
              <w:pStyle w:val="10"/>
              <w:spacing w:before="99"/>
              <w:ind w:left="193" w:right="184"/>
              <w:jc w:val="center"/>
              <w:rPr>
                <w:rFonts w:ascii="宋体" w:eastAsia="宋体"/>
                <w:b/>
              </w:rPr>
            </w:pPr>
            <w:r>
              <w:rPr>
                <w:rFonts w:hint="eastAsia" w:ascii="宋体" w:eastAsia="宋体"/>
                <w:b/>
              </w:rPr>
              <w:t>风险等级</w:t>
            </w:r>
          </w:p>
        </w:tc>
        <w:tc>
          <w:tcPr>
            <w:tcW w:w="7026" w:type="dxa"/>
          </w:tcPr>
          <w:p w14:paraId="05E44781">
            <w:pPr>
              <w:pStyle w:val="10"/>
              <w:spacing w:before="99"/>
              <w:ind w:left="2861" w:right="2849"/>
              <w:jc w:val="center"/>
              <w:rPr>
                <w:rFonts w:ascii="宋体" w:eastAsia="宋体"/>
                <w:b/>
              </w:rPr>
            </w:pPr>
            <w:r>
              <w:rPr>
                <w:rFonts w:hint="eastAsia" w:ascii="宋体" w:eastAsia="宋体"/>
                <w:b/>
              </w:rPr>
              <w:t>产品参考因素</w:t>
            </w:r>
          </w:p>
        </w:tc>
      </w:tr>
      <w:tr w14:paraId="30DC6D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272" w:type="dxa"/>
          </w:tcPr>
          <w:p w14:paraId="77AA70B6">
            <w:pPr>
              <w:pStyle w:val="10"/>
              <w:spacing w:before="1"/>
              <w:rPr>
                <w:rFonts w:ascii="Times New Roman"/>
                <w:sz w:val="29"/>
              </w:rPr>
            </w:pPr>
          </w:p>
          <w:p w14:paraId="6E77AA62">
            <w:pPr>
              <w:pStyle w:val="10"/>
              <w:ind w:left="193" w:right="184"/>
              <w:jc w:val="center"/>
            </w:pPr>
            <w:r>
              <w:t>R1</w:t>
            </w:r>
          </w:p>
        </w:tc>
        <w:tc>
          <w:tcPr>
            <w:tcW w:w="7026" w:type="dxa"/>
          </w:tcPr>
          <w:p w14:paraId="41530A44">
            <w:pPr>
              <w:pStyle w:val="10"/>
              <w:spacing w:before="99"/>
              <w:ind w:left="107"/>
            </w:pPr>
            <w:r>
              <w:t>产品结构简单，过往业绩及净值的历史波动率低，投资标的流动性很</w:t>
            </w:r>
          </w:p>
          <w:p w14:paraId="0D3AB705">
            <w:pPr>
              <w:pStyle w:val="10"/>
              <w:spacing w:before="3"/>
              <w:rPr>
                <w:rFonts w:ascii="Times New Roman"/>
                <w:sz w:val="17"/>
              </w:rPr>
            </w:pPr>
          </w:p>
          <w:p w14:paraId="5F4E5432">
            <w:pPr>
              <w:pStyle w:val="10"/>
              <w:spacing w:before="1"/>
              <w:ind w:left="107"/>
            </w:pPr>
            <w:r>
              <w:t>好 、不含衍生品，估值政策清晰，杠杆不超监管部门规定的标准</w:t>
            </w:r>
          </w:p>
        </w:tc>
      </w:tr>
      <w:tr w14:paraId="1BC94E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3" w:hRule="atLeast"/>
        </w:trPr>
        <w:tc>
          <w:tcPr>
            <w:tcW w:w="1272" w:type="dxa"/>
          </w:tcPr>
          <w:p w14:paraId="3404B839">
            <w:pPr>
              <w:pStyle w:val="10"/>
              <w:rPr>
                <w:rFonts w:ascii="Times New Roman"/>
                <w:sz w:val="20"/>
              </w:rPr>
            </w:pPr>
          </w:p>
          <w:p w14:paraId="4CED734E">
            <w:pPr>
              <w:pStyle w:val="10"/>
              <w:spacing w:before="3"/>
              <w:rPr>
                <w:rFonts w:ascii="Times New Roman"/>
                <w:sz w:val="29"/>
              </w:rPr>
            </w:pPr>
          </w:p>
          <w:p w14:paraId="157A5681">
            <w:pPr>
              <w:pStyle w:val="10"/>
              <w:spacing w:before="1"/>
              <w:ind w:left="193" w:right="184"/>
              <w:jc w:val="center"/>
            </w:pPr>
            <w:r>
              <w:t>R2</w:t>
            </w:r>
          </w:p>
        </w:tc>
        <w:tc>
          <w:tcPr>
            <w:tcW w:w="7026" w:type="dxa"/>
          </w:tcPr>
          <w:p w14:paraId="5FAC74F6">
            <w:pPr>
              <w:pStyle w:val="10"/>
              <w:spacing w:before="99" w:line="417" w:lineRule="auto"/>
              <w:ind w:left="107" w:right="286"/>
            </w:pPr>
            <w:r>
              <w:rPr>
                <w:spacing w:val="-3"/>
              </w:rPr>
              <w:t>产品结构简单，过往业绩及净值的历史波动率较低，投资标的流动性  好 、投资衍生品以套期保值为目的，估值政策清晰，杠杆不超监管部门</w:t>
            </w:r>
          </w:p>
          <w:p w14:paraId="56F8CDDB">
            <w:pPr>
              <w:pStyle w:val="10"/>
              <w:spacing w:line="269" w:lineRule="exact"/>
              <w:ind w:left="107"/>
            </w:pPr>
            <w:r>
              <w:t>规定的标准</w:t>
            </w:r>
          </w:p>
        </w:tc>
      </w:tr>
      <w:tr w14:paraId="30D7FD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6" w:hRule="atLeast"/>
        </w:trPr>
        <w:tc>
          <w:tcPr>
            <w:tcW w:w="1272" w:type="dxa"/>
          </w:tcPr>
          <w:p w14:paraId="4AE924F0">
            <w:pPr>
              <w:pStyle w:val="10"/>
              <w:rPr>
                <w:rFonts w:ascii="Times New Roman"/>
                <w:sz w:val="20"/>
              </w:rPr>
            </w:pPr>
          </w:p>
          <w:p w14:paraId="3410D44E">
            <w:pPr>
              <w:pStyle w:val="10"/>
              <w:spacing w:before="6"/>
              <w:rPr>
                <w:rFonts w:ascii="Times New Roman"/>
                <w:sz w:val="29"/>
              </w:rPr>
            </w:pPr>
          </w:p>
          <w:p w14:paraId="49DE2C5E">
            <w:pPr>
              <w:pStyle w:val="10"/>
              <w:spacing w:before="1"/>
              <w:ind w:left="193" w:right="184"/>
              <w:jc w:val="center"/>
            </w:pPr>
            <w:r>
              <w:t>R3</w:t>
            </w:r>
          </w:p>
        </w:tc>
        <w:tc>
          <w:tcPr>
            <w:tcW w:w="7026" w:type="dxa"/>
          </w:tcPr>
          <w:p w14:paraId="0E11C53E">
            <w:pPr>
              <w:pStyle w:val="10"/>
              <w:spacing w:before="102" w:line="417" w:lineRule="auto"/>
              <w:ind w:left="107" w:right="389"/>
            </w:pPr>
            <w:r>
              <w:t>产品结构较简单，过往业绩及净值的历史波动率较高，投资标的流动性较好、投资衍生品以对冲为目的，估值政策清晰，杠杆不超监管部门规</w:t>
            </w:r>
          </w:p>
          <w:p w14:paraId="65311153">
            <w:pPr>
              <w:pStyle w:val="10"/>
              <w:spacing w:line="269" w:lineRule="exact"/>
              <w:ind w:left="107"/>
            </w:pPr>
            <w:r>
              <w:t>定的标准</w:t>
            </w:r>
          </w:p>
        </w:tc>
      </w:tr>
      <w:tr w14:paraId="17E109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272" w:type="dxa"/>
          </w:tcPr>
          <w:p w14:paraId="55A51952">
            <w:pPr>
              <w:pStyle w:val="10"/>
              <w:spacing w:before="10"/>
              <w:rPr>
                <w:rFonts w:ascii="Times New Roman"/>
                <w:sz w:val="28"/>
              </w:rPr>
            </w:pPr>
          </w:p>
          <w:p w14:paraId="5E916377">
            <w:pPr>
              <w:pStyle w:val="10"/>
              <w:ind w:left="193" w:right="184"/>
              <w:jc w:val="center"/>
            </w:pPr>
            <w:r>
              <w:t>R4</w:t>
            </w:r>
          </w:p>
        </w:tc>
        <w:tc>
          <w:tcPr>
            <w:tcW w:w="7026" w:type="dxa"/>
          </w:tcPr>
          <w:p w14:paraId="2FFD5702">
            <w:pPr>
              <w:pStyle w:val="10"/>
              <w:spacing w:before="99"/>
              <w:ind w:left="107"/>
            </w:pPr>
            <w:r>
              <w:t>产品结构较复杂，过往业绩及净值的历史波动率高，投资标的流动性较</w:t>
            </w:r>
          </w:p>
          <w:p w14:paraId="3D161202">
            <w:pPr>
              <w:pStyle w:val="10"/>
              <w:spacing w:before="3"/>
              <w:rPr>
                <w:rFonts w:ascii="Times New Roman"/>
                <w:sz w:val="17"/>
              </w:rPr>
            </w:pPr>
          </w:p>
          <w:p w14:paraId="77BC5A10">
            <w:pPr>
              <w:pStyle w:val="10"/>
              <w:spacing w:before="1"/>
              <w:ind w:left="107"/>
            </w:pPr>
            <w:r>
              <w:t>差，估值政策较清晰，一倍(不含)以上至三倍(不含)以下杠杆。</w:t>
            </w:r>
          </w:p>
        </w:tc>
      </w:tr>
      <w:tr w14:paraId="282044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272" w:type="dxa"/>
          </w:tcPr>
          <w:p w14:paraId="63DE99B9">
            <w:pPr>
              <w:pStyle w:val="10"/>
              <w:spacing w:before="10"/>
              <w:rPr>
                <w:rFonts w:ascii="Times New Roman"/>
                <w:sz w:val="28"/>
              </w:rPr>
            </w:pPr>
          </w:p>
          <w:p w14:paraId="62289494">
            <w:pPr>
              <w:pStyle w:val="10"/>
              <w:ind w:left="193" w:right="184"/>
              <w:jc w:val="center"/>
            </w:pPr>
            <w:r>
              <w:t>R5</w:t>
            </w:r>
          </w:p>
        </w:tc>
        <w:tc>
          <w:tcPr>
            <w:tcW w:w="7026" w:type="dxa"/>
          </w:tcPr>
          <w:p w14:paraId="5EDB6506">
            <w:pPr>
              <w:pStyle w:val="10"/>
              <w:spacing w:before="99"/>
              <w:ind w:left="107"/>
            </w:pPr>
            <w:r>
              <w:t>产品结构复杂，过往业绩及净值的历史波动率很高，投资标的流动性</w:t>
            </w:r>
          </w:p>
          <w:p w14:paraId="4305477F">
            <w:pPr>
              <w:pStyle w:val="10"/>
              <w:spacing w:before="3"/>
              <w:rPr>
                <w:rFonts w:ascii="Times New Roman"/>
                <w:sz w:val="17"/>
              </w:rPr>
            </w:pPr>
          </w:p>
          <w:p w14:paraId="63576338">
            <w:pPr>
              <w:pStyle w:val="10"/>
              <w:spacing w:before="1"/>
              <w:ind w:left="107"/>
            </w:pPr>
            <w:r>
              <w:t>差，估值政策不清晰，三倍（含）以上杠杆。</w:t>
            </w:r>
          </w:p>
        </w:tc>
      </w:tr>
    </w:tbl>
    <w:p w14:paraId="33E18672">
      <w:pPr>
        <w:rPr>
          <w:rFonts w:ascii="宋体" w:hAnsi="宋体" w:eastAsia="宋体" w:cs="宋体"/>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B0604020202020204"/>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revisionView w:markup="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1YjM0ODBjNTc3NjQwZTBiM2JjZWFmZTFjYzRkYjAifQ=="/>
  </w:docVars>
  <w:rsids>
    <w:rsidRoot w:val="006138A7"/>
    <w:rsid w:val="002A22A2"/>
    <w:rsid w:val="00471C2C"/>
    <w:rsid w:val="0048361F"/>
    <w:rsid w:val="004C4998"/>
    <w:rsid w:val="005E6185"/>
    <w:rsid w:val="005E61EA"/>
    <w:rsid w:val="006138A7"/>
    <w:rsid w:val="007533C1"/>
    <w:rsid w:val="008B5A73"/>
    <w:rsid w:val="008C1DB3"/>
    <w:rsid w:val="00942D53"/>
    <w:rsid w:val="009734DB"/>
    <w:rsid w:val="046264FB"/>
    <w:rsid w:val="05A750EB"/>
    <w:rsid w:val="0A402FCB"/>
    <w:rsid w:val="0CB14D92"/>
    <w:rsid w:val="0FF030D1"/>
    <w:rsid w:val="120E1C01"/>
    <w:rsid w:val="14311550"/>
    <w:rsid w:val="154E5BF0"/>
    <w:rsid w:val="15A83140"/>
    <w:rsid w:val="1AFD4F64"/>
    <w:rsid w:val="1BED6B16"/>
    <w:rsid w:val="1D2155C5"/>
    <w:rsid w:val="2D8E1324"/>
    <w:rsid w:val="345E6795"/>
    <w:rsid w:val="361231BE"/>
    <w:rsid w:val="36C721FA"/>
    <w:rsid w:val="409C0254"/>
    <w:rsid w:val="45FC010D"/>
    <w:rsid w:val="49051109"/>
    <w:rsid w:val="55E37B76"/>
    <w:rsid w:val="59513E7A"/>
    <w:rsid w:val="5D11008D"/>
    <w:rsid w:val="60A07495"/>
    <w:rsid w:val="655B1BDC"/>
    <w:rsid w:val="6A1606B4"/>
    <w:rsid w:val="6E5F44EB"/>
    <w:rsid w:val="736425A4"/>
    <w:rsid w:val="74821A87"/>
    <w:rsid w:val="758B7C9D"/>
    <w:rsid w:val="77A146A8"/>
    <w:rsid w:val="7CF716DD"/>
    <w:rsid w:val="7E865AC4"/>
    <w:rsid w:val="7F4D21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3"/>
    <w:qFormat/>
    <w:uiPriority w:val="0"/>
    <w:pPr>
      <w:widowControl/>
      <w:spacing w:beforeAutospacing="1" w:afterAutospacing="1"/>
      <w:jc w:val="center"/>
      <w:outlineLvl w:val="0"/>
    </w:pPr>
    <w:rPr>
      <w:rFonts w:hint="eastAsia" w:ascii="宋体" w:hAnsi="宋体" w:eastAsia="宋体" w:cs="Times New Roman"/>
      <w:b/>
      <w:kern w:val="44"/>
      <w:szCs w:val="48"/>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1"/>
    <w:uiPriority w:val="0"/>
    <w:pPr>
      <w:jc w:val="left"/>
    </w:pPr>
  </w:style>
  <w:style w:type="paragraph" w:styleId="4">
    <w:name w:val="Normal (Web)"/>
    <w:basedOn w:val="1"/>
    <w:uiPriority w:val="0"/>
    <w:pPr>
      <w:spacing w:beforeAutospacing="1" w:afterAutospacing="1"/>
      <w:jc w:val="left"/>
    </w:pPr>
    <w:rPr>
      <w:rFonts w:cs="Times New Roman"/>
      <w:kern w:val="0"/>
      <w:sz w:val="24"/>
    </w:rPr>
  </w:style>
  <w:style w:type="paragraph" w:styleId="5">
    <w:name w:val="annotation subject"/>
    <w:basedOn w:val="3"/>
    <w:next w:val="3"/>
    <w:link w:val="12"/>
    <w:qFormat/>
    <w:uiPriority w:val="0"/>
    <w:rPr>
      <w:b/>
      <w:bCs/>
    </w:rPr>
  </w:style>
  <w:style w:type="character" w:styleId="8">
    <w:name w:val="Strong"/>
    <w:basedOn w:val="7"/>
    <w:qFormat/>
    <w:uiPriority w:val="0"/>
    <w:rPr>
      <w:b/>
    </w:rPr>
  </w:style>
  <w:style w:type="character" w:styleId="9">
    <w:name w:val="annotation reference"/>
    <w:basedOn w:val="7"/>
    <w:qFormat/>
    <w:uiPriority w:val="0"/>
    <w:rPr>
      <w:sz w:val="21"/>
      <w:szCs w:val="21"/>
    </w:rPr>
  </w:style>
  <w:style w:type="paragraph" w:customStyle="1" w:styleId="10">
    <w:name w:val="Table Paragraph"/>
    <w:basedOn w:val="1"/>
    <w:qFormat/>
    <w:uiPriority w:val="1"/>
    <w:rPr>
      <w:rFonts w:ascii="仿宋" w:hAnsi="仿宋" w:eastAsia="仿宋" w:cs="仿宋"/>
      <w:lang w:val="zh-CN" w:bidi="zh-CN"/>
    </w:rPr>
  </w:style>
  <w:style w:type="character" w:customStyle="1" w:styleId="11">
    <w:name w:val="批注文字 字符"/>
    <w:basedOn w:val="7"/>
    <w:link w:val="3"/>
    <w:qFormat/>
    <w:uiPriority w:val="0"/>
    <w:rPr>
      <w:rFonts w:asciiTheme="minorHAnsi" w:hAnsiTheme="minorHAnsi" w:eastAsiaTheme="minorEastAsia" w:cstheme="minorBidi"/>
      <w:kern w:val="2"/>
      <w:sz w:val="21"/>
      <w:szCs w:val="24"/>
    </w:rPr>
  </w:style>
  <w:style w:type="character" w:customStyle="1" w:styleId="12">
    <w:name w:val="批注主题 字符"/>
    <w:basedOn w:val="11"/>
    <w:link w:val="5"/>
    <w:qFormat/>
    <w:uiPriority w:val="0"/>
    <w:rPr>
      <w:rFonts w:asciiTheme="minorHAnsi" w:hAnsiTheme="minorHAnsi" w:eastAsiaTheme="minorEastAsia" w:cstheme="minorBidi"/>
      <w:b/>
      <w:bCs/>
      <w:kern w:val="2"/>
      <w:sz w:val="21"/>
      <w:szCs w:val="24"/>
    </w:rPr>
  </w:style>
  <w:style w:type="character" w:customStyle="1" w:styleId="13">
    <w:name w:val="标题 1 字符"/>
    <w:basedOn w:val="7"/>
    <w:link w:val="2"/>
    <w:uiPriority w:val="0"/>
    <w:rPr>
      <w:rFonts w:ascii="宋体" w:hAnsi="宋体"/>
      <w:b/>
      <w:kern w:val="44"/>
      <w:sz w:val="21"/>
      <w:szCs w:val="48"/>
    </w:rPr>
  </w:style>
  <w:style w:type="character" w:customStyle="1" w:styleId="14">
    <w:name w:val="a_contentlink_link"/>
    <w:uiPriority w:val="0"/>
    <w:rPr>
      <w:rFonts w:ascii="微软雅黑" w:hAnsi="微软雅黑" w:eastAsia="微软雅黑" w:cs="微软雅黑"/>
      <w:color w:val="0000FF"/>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1224</Words>
  <Characters>1234</Characters>
  <Lines>8</Lines>
  <Paragraphs>2</Paragraphs>
  <TotalTime>0</TotalTime>
  <ScaleCrop>false</ScaleCrop>
  <LinksUpToDate>false</LinksUpToDate>
  <CharactersWithSpaces>1242</CharactersWithSpaces>
  <Application>WPS Office_12.1.0.18543_F1E327BC-269C-435d-A152-05C5408002CA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941018</dc:creator>
  <cp:lastModifiedBy>Sela</cp:lastModifiedBy>
  <dcterms:modified xsi:type="dcterms:W3CDTF">2024-09-25T08:24:11Z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2052-12.1.0.18543</vt:lpwstr>
  </property>
  <property fmtid="{D5CDD505-2E9C-101B-9397-08002B2CF9AE}" pid="3" name="ICV">
    <vt:lpwstr>CB4D98A5F04C48988257860E5807C5D6</vt:lpwstr>
  </property>
</Properties>
</file>