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83A82D">
      <w:pPr>
        <w:jc w:val="center"/>
        <w:rPr>
          <w:sz w:val="30"/>
          <w:szCs w:val="30"/>
        </w:rPr>
      </w:pPr>
      <w:r>
        <w:rPr>
          <w:rFonts w:hint="eastAsia"/>
          <w:sz w:val="30"/>
          <w:szCs w:val="30"/>
        </w:rPr>
        <w:t>投资者风险承受能力调查与评价的方法及其说明</w:t>
      </w:r>
    </w:p>
    <w:p w14:paraId="2903A00E">
      <w:pPr>
        <w:ind w:firstLine="420" w:firstLineChars="200"/>
        <w:rPr>
          <w:rFonts w:hint="eastAsia"/>
        </w:rPr>
      </w:pPr>
    </w:p>
    <w:p w14:paraId="2DB0693D">
      <w:pPr>
        <w:ind w:firstLine="420" w:firstLineChars="200"/>
      </w:pPr>
      <w:r>
        <w:rPr>
          <w:rFonts w:hint="eastAsia"/>
        </w:rPr>
        <w:t>本公司通过《投资者风险承受能力评估问卷》向普通投资者进行风险承受能力评估，问卷内容包括但不限于收入来源和数额、资产状态、债务、投资知识和经验、风险偏好等因素。</w:t>
      </w:r>
    </w:p>
    <w:p w14:paraId="68AC0536">
      <w:pPr>
        <w:ind w:firstLine="420" w:firstLineChars="200"/>
      </w:pPr>
      <w:r>
        <w:rPr>
          <w:rFonts w:hint="eastAsia"/>
        </w:rPr>
        <w:t>风险承受能力评估是本公司履行投资者适当性管理职责的一个环节，其目的是使本公司所提供的产品或服务与投资者的风险承受能力等级相匹配。投资者在购买产品或服务的过程中应当注意核对自己的风险识别和风险承受能力，选择与自己风险识别和风险承受能力相匹配的产品或服务。</w:t>
      </w:r>
    </w:p>
    <w:p w14:paraId="60A81AE8">
      <w:pPr>
        <w:ind w:firstLine="422" w:firstLineChars="200"/>
      </w:pPr>
      <w:r>
        <w:rPr>
          <w:rFonts w:hint="eastAsia"/>
          <w:b/>
          <w:bCs/>
        </w:rPr>
        <w:t>本公司特别提示投资者：</w:t>
      </w:r>
      <w:r>
        <w:rPr>
          <w:rFonts w:hint="eastAsia"/>
        </w:rPr>
        <w:t>本公司向投资者履行风险承受能力评估等适当性义务，并不能取代投资者的投资判断，也不会降低产品或服务的固有风险。同时，与产品或服务相关的投资风险、履约责任以及费用等将由投资者自行承担。</w:t>
      </w:r>
    </w:p>
    <w:p w14:paraId="1B74AB0E">
      <w:pPr>
        <w:ind w:firstLine="420" w:firstLineChars="200"/>
      </w:pPr>
      <w:r>
        <w:rPr>
          <w:rFonts w:hint="eastAsia"/>
        </w:rPr>
        <w:t>本公司根据投资者提供的信息对投资者进行风险承受能力评估，履行适当性义务。投资者应当如实提供相关信息及证明材料，并对所提供的信息和证明材料的真实性、准确性、完整性负责。</w:t>
      </w:r>
    </w:p>
    <w:p w14:paraId="2937293A">
      <w:pPr>
        <w:ind w:firstLine="422" w:firstLineChars="200"/>
      </w:pPr>
      <w:r>
        <w:rPr>
          <w:rFonts w:hint="eastAsia"/>
          <w:b/>
          <w:bCs/>
        </w:rPr>
        <w:t>本公司建议：</w:t>
      </w:r>
      <w:r>
        <w:rPr>
          <w:rFonts w:hint="eastAsia"/>
        </w:rPr>
        <w:t>当投资者的各项状况发生重大变化时，需对自己所投资的产品及时进行重新审视，以确保投资者的投资决定与投资者可承受的投资风险程度等实际情况一致。</w:t>
      </w:r>
    </w:p>
    <w:p w14:paraId="473F0E4F">
      <w:pPr>
        <w:ind w:firstLine="420" w:firstLineChars="200"/>
      </w:pPr>
      <w:r>
        <w:rPr>
          <w:rFonts w:hint="eastAsia"/>
        </w:rPr>
        <w:t>本公司在此承诺：对于投资者在问卷中所提供的一切信息，将严格按照法律法规要求承担保密义务。除法律法规规定的有权机关依法定程序进行查询以外，本公司保证不会将涉及投资者的任何信息提供、泄露给任何其他第三方，或者将相关信息用于违法、不当用途。</w:t>
      </w:r>
    </w:p>
    <w:p w14:paraId="4B975D62"/>
    <w:p w14:paraId="7385151A"/>
    <w:p w14:paraId="34165212">
      <w:pPr>
        <w:jc w:val="center"/>
        <w:rPr>
          <w:b/>
          <w:bCs/>
        </w:rPr>
      </w:pPr>
      <w:r>
        <w:rPr>
          <w:rFonts w:hint="eastAsia"/>
          <w:b/>
          <w:bCs/>
        </w:rPr>
        <w:t>投资者风险承受能力分级标准</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841"/>
        <w:gridCol w:w="2841"/>
      </w:tblGrid>
      <w:tr w14:paraId="206EC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316EA3CC">
            <w:r>
              <w:rPr>
                <w:rFonts w:hint="eastAsia"/>
              </w:rPr>
              <w:t>等级</w:t>
            </w:r>
          </w:p>
        </w:tc>
        <w:tc>
          <w:tcPr>
            <w:tcW w:w="2841" w:type="dxa"/>
          </w:tcPr>
          <w:p w14:paraId="71BA9C11">
            <w:r>
              <w:rPr>
                <w:rFonts w:hint="eastAsia"/>
              </w:rPr>
              <w:t>区间</w:t>
            </w:r>
          </w:p>
        </w:tc>
        <w:tc>
          <w:tcPr>
            <w:tcW w:w="2841" w:type="dxa"/>
          </w:tcPr>
          <w:p w14:paraId="4DFC159B">
            <w:r>
              <w:rPr>
                <w:rFonts w:hint="eastAsia"/>
              </w:rPr>
              <w:t>差值</w:t>
            </w:r>
          </w:p>
        </w:tc>
      </w:tr>
      <w:tr w14:paraId="71749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719E654E">
            <w:r>
              <w:rPr>
                <w:rFonts w:hint="eastAsia"/>
              </w:rPr>
              <w:t>C1</w:t>
            </w:r>
          </w:p>
        </w:tc>
        <w:tc>
          <w:tcPr>
            <w:tcW w:w="2841" w:type="dxa"/>
          </w:tcPr>
          <w:p w14:paraId="25132B64">
            <w:r>
              <w:rPr>
                <w:rFonts w:hint="eastAsia"/>
                <w:lang w:val="en-US" w:eastAsia="zh-CN"/>
              </w:rPr>
              <w:t>0</w:t>
            </w:r>
            <w:r>
              <w:rPr>
                <w:rFonts w:hint="eastAsia"/>
              </w:rPr>
              <w:t>~20</w:t>
            </w:r>
          </w:p>
        </w:tc>
        <w:tc>
          <w:tcPr>
            <w:tcW w:w="2841" w:type="dxa"/>
          </w:tcPr>
          <w:p w14:paraId="0BDD0DE1">
            <w:r>
              <w:rPr>
                <w:rFonts w:hint="eastAsia"/>
              </w:rPr>
              <w:t>20</w:t>
            </w:r>
          </w:p>
        </w:tc>
      </w:tr>
      <w:tr w14:paraId="26E60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582115EF">
            <w:r>
              <w:rPr>
                <w:rFonts w:hint="eastAsia"/>
              </w:rPr>
              <w:t>C2</w:t>
            </w:r>
          </w:p>
        </w:tc>
        <w:tc>
          <w:tcPr>
            <w:tcW w:w="2841" w:type="dxa"/>
          </w:tcPr>
          <w:p w14:paraId="67A4286A">
            <w:r>
              <w:rPr>
                <w:rFonts w:hint="eastAsia"/>
              </w:rPr>
              <w:t>21~35</w:t>
            </w:r>
          </w:p>
        </w:tc>
        <w:tc>
          <w:tcPr>
            <w:tcW w:w="2841" w:type="dxa"/>
          </w:tcPr>
          <w:p w14:paraId="17FBBA77">
            <w:r>
              <w:rPr>
                <w:rFonts w:hint="eastAsia"/>
              </w:rPr>
              <w:t>15</w:t>
            </w:r>
          </w:p>
        </w:tc>
      </w:tr>
      <w:tr w14:paraId="5D69C1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39ED31C0">
            <w:r>
              <w:rPr>
                <w:rFonts w:hint="eastAsia"/>
              </w:rPr>
              <w:t>C3</w:t>
            </w:r>
          </w:p>
        </w:tc>
        <w:tc>
          <w:tcPr>
            <w:tcW w:w="2841" w:type="dxa"/>
          </w:tcPr>
          <w:p w14:paraId="7BF68032">
            <w:r>
              <w:rPr>
                <w:rFonts w:hint="eastAsia"/>
              </w:rPr>
              <w:t>36~55</w:t>
            </w:r>
          </w:p>
        </w:tc>
        <w:tc>
          <w:tcPr>
            <w:tcW w:w="2841" w:type="dxa"/>
          </w:tcPr>
          <w:p w14:paraId="7320B3DB">
            <w:r>
              <w:rPr>
                <w:rFonts w:hint="eastAsia"/>
              </w:rPr>
              <w:t>20</w:t>
            </w:r>
          </w:p>
        </w:tc>
      </w:tr>
      <w:tr w14:paraId="6A8ED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487E84A9">
            <w:r>
              <w:rPr>
                <w:rFonts w:hint="eastAsia"/>
              </w:rPr>
              <w:t>C4</w:t>
            </w:r>
          </w:p>
        </w:tc>
        <w:tc>
          <w:tcPr>
            <w:tcW w:w="2841" w:type="dxa"/>
          </w:tcPr>
          <w:p w14:paraId="1A52C137">
            <w:r>
              <w:rPr>
                <w:rFonts w:hint="eastAsia"/>
              </w:rPr>
              <w:t>56~80</w:t>
            </w:r>
          </w:p>
        </w:tc>
        <w:tc>
          <w:tcPr>
            <w:tcW w:w="2841" w:type="dxa"/>
          </w:tcPr>
          <w:p w14:paraId="0E00108A">
            <w:r>
              <w:rPr>
                <w:rFonts w:hint="eastAsia"/>
              </w:rPr>
              <w:t>25</w:t>
            </w:r>
          </w:p>
        </w:tc>
      </w:tr>
      <w:tr w14:paraId="279514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3B4E6061">
            <w:r>
              <w:rPr>
                <w:rFonts w:hint="eastAsia"/>
              </w:rPr>
              <w:t>C5</w:t>
            </w:r>
          </w:p>
        </w:tc>
        <w:tc>
          <w:tcPr>
            <w:tcW w:w="2841" w:type="dxa"/>
          </w:tcPr>
          <w:p w14:paraId="0E07873F">
            <w:r>
              <w:rPr>
                <w:rFonts w:hint="eastAsia"/>
              </w:rPr>
              <w:t>81~100</w:t>
            </w:r>
          </w:p>
        </w:tc>
        <w:tc>
          <w:tcPr>
            <w:tcW w:w="2841" w:type="dxa"/>
          </w:tcPr>
          <w:p w14:paraId="42DE55E4">
            <w:r>
              <w:rPr>
                <w:rFonts w:hint="eastAsia"/>
              </w:rPr>
              <w:t>20</w:t>
            </w:r>
          </w:p>
        </w:tc>
      </w:tr>
    </w:tbl>
    <w:p w14:paraId="0B299086"/>
    <w:p w14:paraId="5745A5CE">
      <w:pPr>
        <w:jc w:val="center"/>
        <w:rPr>
          <w:b/>
          <w:bCs/>
        </w:rPr>
      </w:pPr>
      <w:r>
        <w:rPr>
          <w:rFonts w:hint="eastAsia"/>
          <w:b/>
          <w:bCs/>
        </w:rPr>
        <w:t>投资者风险承受能力分级结果与产品风险等级匹配表</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841"/>
        <w:gridCol w:w="2841"/>
      </w:tblGrid>
      <w:tr w14:paraId="3EA4B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4BE705DE">
            <w:r>
              <w:rPr>
                <w:rFonts w:hint="eastAsia"/>
              </w:rPr>
              <w:t>投资者分类结果</w:t>
            </w:r>
          </w:p>
        </w:tc>
        <w:tc>
          <w:tcPr>
            <w:tcW w:w="2841" w:type="dxa"/>
          </w:tcPr>
          <w:p w14:paraId="2727FAA0">
            <w:r>
              <w:rPr>
                <w:rFonts w:hint="eastAsia"/>
              </w:rPr>
              <w:t>投资者分级结果</w:t>
            </w:r>
          </w:p>
        </w:tc>
        <w:tc>
          <w:tcPr>
            <w:tcW w:w="2841" w:type="dxa"/>
          </w:tcPr>
          <w:p w14:paraId="099B2CC6">
            <w:r>
              <w:rPr>
                <w:rFonts w:hint="eastAsia"/>
              </w:rPr>
              <w:t>可直接匹配的产品或服务风险等级</w:t>
            </w:r>
          </w:p>
        </w:tc>
      </w:tr>
      <w:tr w14:paraId="6C99B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tcPr>
          <w:p w14:paraId="326F129F">
            <w:pPr>
              <w:rPr>
                <w:highlight w:val="none"/>
              </w:rPr>
            </w:pPr>
          </w:p>
        </w:tc>
        <w:tc>
          <w:tcPr>
            <w:tcW w:w="2841" w:type="dxa"/>
          </w:tcPr>
          <w:p w14:paraId="3DE383F0">
            <w:pPr>
              <w:rPr>
                <w:rFonts w:hint="default" w:eastAsiaTheme="minorEastAsia"/>
                <w:highlight w:val="none"/>
                <w:lang w:val="en-US" w:eastAsia="zh-CN"/>
              </w:rPr>
            </w:pPr>
            <w:r>
              <w:rPr>
                <w:rFonts w:hint="eastAsia"/>
                <w:highlight w:val="none"/>
              </w:rPr>
              <w:t>C1</w:t>
            </w:r>
          </w:p>
        </w:tc>
        <w:tc>
          <w:tcPr>
            <w:tcW w:w="2841" w:type="dxa"/>
          </w:tcPr>
          <w:p w14:paraId="5FE05423">
            <w:pPr>
              <w:rPr>
                <w:highlight w:val="none"/>
              </w:rPr>
            </w:pPr>
            <w:r>
              <w:rPr>
                <w:rFonts w:hint="eastAsia"/>
                <w:highlight w:val="none"/>
              </w:rPr>
              <w:t>R1</w:t>
            </w:r>
            <w:bookmarkStart w:id="0" w:name="_GoBack"/>
            <w:bookmarkEnd w:id="0"/>
          </w:p>
        </w:tc>
      </w:tr>
      <w:tr w14:paraId="51D11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tcPr>
          <w:p w14:paraId="7D5586EA"/>
        </w:tc>
        <w:tc>
          <w:tcPr>
            <w:tcW w:w="2841" w:type="dxa"/>
          </w:tcPr>
          <w:p w14:paraId="25A4E1DE">
            <w:pPr>
              <w:rPr>
                <w:rFonts w:hint="default" w:eastAsiaTheme="minorEastAsia"/>
                <w:lang w:val="en-US" w:eastAsia="zh-CN"/>
              </w:rPr>
            </w:pPr>
            <w:r>
              <w:rPr>
                <w:rFonts w:hint="eastAsia"/>
              </w:rPr>
              <w:t>C2</w:t>
            </w:r>
          </w:p>
        </w:tc>
        <w:tc>
          <w:tcPr>
            <w:tcW w:w="2841" w:type="dxa"/>
          </w:tcPr>
          <w:p w14:paraId="441A4530">
            <w:r>
              <w:rPr>
                <w:rFonts w:hint="eastAsia"/>
              </w:rPr>
              <w:t>R1、R2</w:t>
            </w:r>
          </w:p>
        </w:tc>
      </w:tr>
      <w:tr w14:paraId="0BC15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tcPr>
          <w:p w14:paraId="2809A888"/>
        </w:tc>
        <w:tc>
          <w:tcPr>
            <w:tcW w:w="2841" w:type="dxa"/>
          </w:tcPr>
          <w:p w14:paraId="71373AA3">
            <w:pPr>
              <w:rPr>
                <w:rFonts w:hint="default" w:eastAsiaTheme="minorEastAsia"/>
                <w:lang w:val="en-US" w:eastAsia="zh-CN"/>
              </w:rPr>
            </w:pPr>
            <w:r>
              <w:rPr>
                <w:rFonts w:hint="eastAsia"/>
              </w:rPr>
              <w:t>C3</w:t>
            </w:r>
          </w:p>
        </w:tc>
        <w:tc>
          <w:tcPr>
            <w:tcW w:w="2841" w:type="dxa"/>
          </w:tcPr>
          <w:p w14:paraId="39637D65">
            <w:r>
              <w:rPr>
                <w:rFonts w:hint="eastAsia"/>
              </w:rPr>
              <w:t>R1、R2、R3</w:t>
            </w:r>
          </w:p>
        </w:tc>
      </w:tr>
      <w:tr w14:paraId="1F6C9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 w:hRule="atLeast"/>
        </w:trPr>
        <w:tc>
          <w:tcPr>
            <w:tcW w:w="2840" w:type="dxa"/>
            <w:vMerge w:val="continue"/>
          </w:tcPr>
          <w:p w14:paraId="7FE89422"/>
        </w:tc>
        <w:tc>
          <w:tcPr>
            <w:tcW w:w="2841" w:type="dxa"/>
          </w:tcPr>
          <w:p w14:paraId="13D4BBCE">
            <w:pPr>
              <w:rPr>
                <w:rFonts w:hint="default" w:eastAsiaTheme="minorEastAsia"/>
                <w:lang w:val="en-US" w:eastAsia="zh-CN"/>
              </w:rPr>
            </w:pPr>
            <w:r>
              <w:rPr>
                <w:rFonts w:hint="eastAsia"/>
              </w:rPr>
              <w:t>C4</w:t>
            </w:r>
          </w:p>
        </w:tc>
        <w:tc>
          <w:tcPr>
            <w:tcW w:w="2841" w:type="dxa"/>
          </w:tcPr>
          <w:p w14:paraId="1E618986">
            <w:r>
              <w:rPr>
                <w:rFonts w:hint="eastAsia"/>
              </w:rPr>
              <w:t>R1、R2、R3、R4</w:t>
            </w:r>
          </w:p>
        </w:tc>
      </w:tr>
      <w:tr w14:paraId="4F9E42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tcPr>
          <w:p w14:paraId="4F37ABFE"/>
        </w:tc>
        <w:tc>
          <w:tcPr>
            <w:tcW w:w="2841" w:type="dxa"/>
          </w:tcPr>
          <w:p w14:paraId="34F7D097">
            <w:pPr>
              <w:rPr>
                <w:rFonts w:hint="default" w:eastAsiaTheme="minorEastAsia"/>
                <w:lang w:val="en-US" w:eastAsia="zh-CN"/>
              </w:rPr>
            </w:pPr>
            <w:r>
              <w:rPr>
                <w:rFonts w:hint="eastAsia"/>
              </w:rPr>
              <w:t>C5</w:t>
            </w:r>
          </w:p>
        </w:tc>
        <w:tc>
          <w:tcPr>
            <w:tcW w:w="2841" w:type="dxa"/>
          </w:tcPr>
          <w:p w14:paraId="6A58F586">
            <w:r>
              <w:rPr>
                <w:rFonts w:hint="eastAsia"/>
              </w:rPr>
              <w:t>R1、R2、R3、R4、R5</w:t>
            </w:r>
          </w:p>
        </w:tc>
      </w:tr>
      <w:tr w14:paraId="4637B3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43E3347E">
            <w:r>
              <w:rPr>
                <w:rFonts w:hint="eastAsia"/>
              </w:rPr>
              <w:t>专业投资者</w:t>
            </w:r>
          </w:p>
        </w:tc>
        <w:tc>
          <w:tcPr>
            <w:tcW w:w="2841" w:type="dxa"/>
          </w:tcPr>
          <w:p w14:paraId="665CD13C">
            <w:r>
              <w:rPr>
                <w:rFonts w:hint="eastAsia"/>
              </w:rPr>
              <w:t>不细分评级</w:t>
            </w:r>
          </w:p>
        </w:tc>
        <w:tc>
          <w:tcPr>
            <w:tcW w:w="2841" w:type="dxa"/>
          </w:tcPr>
          <w:p w14:paraId="6BE13736">
            <w:r>
              <w:rPr>
                <w:rFonts w:hint="eastAsia"/>
              </w:rPr>
              <w:t>R1、R2、R3、R4、R5</w:t>
            </w:r>
          </w:p>
        </w:tc>
      </w:tr>
    </w:tbl>
    <w:p w14:paraId="2ECEFC6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1YjM0ODBjNTc3NjQwZTBiM2JjZWFmZTFjYzRkYjAifQ=="/>
  </w:docVars>
  <w:rsids>
    <w:rsidRoot w:val="000D19B2"/>
    <w:rsid w:val="000D19B2"/>
    <w:rsid w:val="003A574C"/>
    <w:rsid w:val="003B615A"/>
    <w:rsid w:val="003C4029"/>
    <w:rsid w:val="005341C6"/>
    <w:rsid w:val="00613045"/>
    <w:rsid w:val="00664F4C"/>
    <w:rsid w:val="006E0978"/>
    <w:rsid w:val="00970A92"/>
    <w:rsid w:val="00AC4B1F"/>
    <w:rsid w:val="00CB16C1"/>
    <w:rsid w:val="00FE52F5"/>
    <w:rsid w:val="09C41CE5"/>
    <w:rsid w:val="11DC5CCF"/>
    <w:rsid w:val="1B981FFD"/>
    <w:rsid w:val="1D2247B2"/>
    <w:rsid w:val="25813A81"/>
    <w:rsid w:val="2D662499"/>
    <w:rsid w:val="2DEE4C69"/>
    <w:rsid w:val="2E6C3035"/>
    <w:rsid w:val="2EA8566A"/>
    <w:rsid w:val="2EDE32F6"/>
    <w:rsid w:val="3CF900B3"/>
    <w:rsid w:val="43D46D0A"/>
    <w:rsid w:val="4A7669BB"/>
    <w:rsid w:val="520A6890"/>
    <w:rsid w:val="57081D47"/>
    <w:rsid w:val="59D16D68"/>
    <w:rsid w:val="5F9A7FAB"/>
    <w:rsid w:val="637A389F"/>
    <w:rsid w:val="675E7762"/>
    <w:rsid w:val="76264F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6"/>
    <w:qFormat/>
    <w:uiPriority w:val="0"/>
    <w:pPr>
      <w:widowControl/>
      <w:spacing w:beforeAutospacing="1" w:afterAutospacing="1"/>
      <w:jc w:val="center"/>
      <w:outlineLvl w:val="0"/>
    </w:pPr>
    <w:rPr>
      <w:rFonts w:hint="eastAsia" w:ascii="宋体" w:hAnsi="宋体" w:eastAsia="宋体" w:cs="Times New Roman"/>
      <w:b/>
      <w:kern w:val="44"/>
      <w:szCs w:val="48"/>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4"/>
    <w:qFormat/>
    <w:uiPriority w:val="0"/>
    <w:pPr>
      <w:jc w:val="left"/>
    </w:pPr>
  </w:style>
  <w:style w:type="paragraph" w:styleId="4">
    <w:name w:val="footer"/>
    <w:basedOn w:val="1"/>
    <w:link w:val="13"/>
    <w:qFormat/>
    <w:uiPriority w:val="0"/>
    <w:pPr>
      <w:tabs>
        <w:tab w:val="center" w:pos="4153"/>
        <w:tab w:val="right" w:pos="8306"/>
      </w:tabs>
      <w:snapToGrid w:val="0"/>
      <w:jc w:val="left"/>
    </w:pPr>
    <w:rPr>
      <w:sz w:val="18"/>
      <w:szCs w:val="18"/>
    </w:rPr>
  </w:style>
  <w:style w:type="paragraph" w:styleId="5">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6">
    <w:name w:val="annotation subject"/>
    <w:basedOn w:val="3"/>
    <w:next w:val="3"/>
    <w:link w:val="15"/>
    <w:qFormat/>
    <w:uiPriority w:val="0"/>
    <w:rPr>
      <w:b/>
      <w:bCs/>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unhideWhenUsed/>
    <w:qFormat/>
    <w:uiPriority w:val="99"/>
    <w:rPr>
      <w:color w:val="0000FF"/>
      <w:u w:val="single"/>
    </w:rPr>
  </w:style>
  <w:style w:type="character" w:styleId="11">
    <w:name w:val="annotation reference"/>
    <w:basedOn w:val="9"/>
    <w:qFormat/>
    <w:uiPriority w:val="0"/>
    <w:rPr>
      <w:sz w:val="21"/>
      <w:szCs w:val="21"/>
    </w:rPr>
  </w:style>
  <w:style w:type="character" w:customStyle="1" w:styleId="12">
    <w:name w:val="页眉 字符"/>
    <w:basedOn w:val="9"/>
    <w:link w:val="5"/>
    <w:qFormat/>
    <w:uiPriority w:val="0"/>
    <w:rPr>
      <w:rFonts w:asciiTheme="minorHAnsi" w:hAnsiTheme="minorHAnsi" w:eastAsiaTheme="minorEastAsia" w:cstheme="minorBidi"/>
      <w:kern w:val="2"/>
      <w:sz w:val="18"/>
      <w:szCs w:val="18"/>
    </w:rPr>
  </w:style>
  <w:style w:type="character" w:customStyle="1" w:styleId="13">
    <w:name w:val="页脚 字符"/>
    <w:basedOn w:val="9"/>
    <w:link w:val="4"/>
    <w:qFormat/>
    <w:uiPriority w:val="0"/>
    <w:rPr>
      <w:rFonts w:asciiTheme="minorHAnsi" w:hAnsiTheme="minorHAnsi" w:eastAsiaTheme="minorEastAsia" w:cstheme="minorBidi"/>
      <w:kern w:val="2"/>
      <w:sz w:val="18"/>
      <w:szCs w:val="18"/>
    </w:rPr>
  </w:style>
  <w:style w:type="character" w:customStyle="1" w:styleId="14">
    <w:name w:val="批注文字 字符"/>
    <w:basedOn w:val="9"/>
    <w:link w:val="3"/>
    <w:qFormat/>
    <w:uiPriority w:val="0"/>
    <w:rPr>
      <w:rFonts w:asciiTheme="minorHAnsi" w:hAnsiTheme="minorHAnsi" w:eastAsiaTheme="minorEastAsia" w:cstheme="minorBidi"/>
      <w:kern w:val="2"/>
      <w:sz w:val="21"/>
      <w:szCs w:val="24"/>
    </w:rPr>
  </w:style>
  <w:style w:type="character" w:customStyle="1" w:styleId="15">
    <w:name w:val="批注主题 字符"/>
    <w:basedOn w:val="14"/>
    <w:link w:val="6"/>
    <w:qFormat/>
    <w:uiPriority w:val="0"/>
    <w:rPr>
      <w:rFonts w:asciiTheme="minorHAnsi" w:hAnsiTheme="minorHAnsi" w:eastAsiaTheme="minorEastAsia" w:cstheme="minorBidi"/>
      <w:b/>
      <w:bCs/>
      <w:kern w:val="2"/>
      <w:sz w:val="21"/>
      <w:szCs w:val="24"/>
    </w:rPr>
  </w:style>
  <w:style w:type="character" w:customStyle="1" w:styleId="16">
    <w:name w:val="标题 1 字符"/>
    <w:basedOn w:val="9"/>
    <w:link w:val="2"/>
    <w:qFormat/>
    <w:uiPriority w:val="0"/>
    <w:rPr>
      <w:rFonts w:ascii="宋体" w:hAnsi="宋体"/>
      <w:b/>
      <w:kern w:val="44"/>
      <w:sz w:val="21"/>
      <w:szCs w:val="4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859</Words>
  <Characters>926</Characters>
  <Lines>7</Lines>
  <Paragraphs>2</Paragraphs>
  <TotalTime>4</TotalTime>
  <ScaleCrop>false</ScaleCrop>
  <LinksUpToDate>false</LinksUpToDate>
  <CharactersWithSpaces>926</CharactersWithSpaces>
  <Application>WPS Office_12.1.0.18543_F1E327BC-269C-435d-A152-05C5408002CA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941018</dc:creator>
  <cp:lastModifiedBy>Sela</cp:lastModifiedBy>
  <dcterms:modified xsi:type="dcterms:W3CDTF">2024-09-25T09:27:27Z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2052-12.1.0.18543</vt:lpwstr>
  </property>
  <property fmtid="{D5CDD505-2E9C-101B-9397-08002B2CF9AE}" pid="3" name="ICV">
    <vt:lpwstr>1C4B79859B374C69815473AAEA785183</vt:lpwstr>
  </property>
</Properties>
</file>