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jc w:val="center"/>
        <w:outlineLvl w:val="1"/>
        <w:rPr>
          <w:b/>
          <w:sz w:val="30"/>
        </w:rPr>
      </w:pPr>
      <w:r>
        <w:rPr>
          <w:rFonts w:hint="eastAsia"/>
          <w:b/>
          <w:sz w:val="30"/>
        </w:rPr>
        <w:t>方正中期期货有限公司关于旗下所销售公开募集证券投资基金风险等级变更及风险警示告知的通知</w:t>
      </w:r>
    </w:p>
    <w:p>
      <w:pPr>
        <w:pStyle w:val="2"/>
        <w:widowControl/>
        <w:spacing w:beforeAutospacing="0" w:after="240" w:afterAutospacing="0"/>
        <w:ind w:firstLine="380"/>
        <w:rPr>
          <w:rFonts w:hint="default" w:ascii="微软雅黑" w:hAnsi="微软雅黑" w:eastAsia="微软雅黑" w:cs="微软雅黑"/>
          <w:b w:val="0"/>
          <w:bCs w:val="0"/>
          <w:color w:val="4D4D4D"/>
          <w:kern w:val="0"/>
          <w:sz w:val="19"/>
          <w:szCs w:val="19"/>
          <w:shd w:val="clear" w:color="auto" w:fill="FFFFFF"/>
          <w:lang w:bidi="ar"/>
        </w:rPr>
      </w:pPr>
      <w:r>
        <w:rPr>
          <w:rFonts w:ascii="微软雅黑" w:hAnsi="微软雅黑" w:eastAsia="微软雅黑" w:cs="微软雅黑"/>
          <w:b w:val="0"/>
          <w:bCs w:val="0"/>
          <w:color w:val="4D4D4D"/>
          <w:kern w:val="0"/>
          <w:sz w:val="19"/>
          <w:szCs w:val="19"/>
          <w:shd w:val="clear" w:color="auto" w:fill="FFFFFF"/>
          <w:lang w:bidi="ar"/>
        </w:rPr>
        <w:t>根据《证券期货投资者适当性管理办法》《关于实施＜公开募集证券投资基金销售机构监督管理办法＞的规定》《期货经营机构投资者适当性管理实施指引（试行）》《基金募集机构投资者适当性管理实施指引（试行）》要求，方正中期期货有限公司（以下简称“我公司”）严格遵循投资者利益优先原则，积极落实投资者适当性管理，我公司销售的</w:t>
      </w:r>
      <w:bookmarkStart w:id="0" w:name="OLE_LINK1"/>
      <w:r>
        <w:rPr>
          <w:rFonts w:ascii="微软雅黑" w:hAnsi="微软雅黑" w:eastAsia="微软雅黑" w:cs="微软雅黑"/>
          <w:b w:val="0"/>
          <w:bCs w:val="0"/>
          <w:color w:val="4D4D4D"/>
          <w:kern w:val="0"/>
          <w:sz w:val="19"/>
          <w:szCs w:val="19"/>
          <w:shd w:val="clear" w:color="auto" w:fill="FFFFFF"/>
          <w:lang w:bidi="ar"/>
        </w:rPr>
        <w:t>公开募集证券投资基金</w:t>
      </w:r>
      <w:bookmarkEnd w:id="0"/>
      <w:r>
        <w:rPr>
          <w:rFonts w:ascii="微软雅黑" w:hAnsi="微软雅黑" w:eastAsia="微软雅黑" w:cs="微软雅黑"/>
          <w:b w:val="0"/>
          <w:bCs w:val="0"/>
          <w:color w:val="4D4D4D"/>
          <w:kern w:val="0"/>
          <w:sz w:val="19"/>
          <w:szCs w:val="19"/>
          <w:shd w:val="clear" w:color="auto" w:fill="FFFFFF"/>
          <w:lang w:bidi="ar"/>
        </w:rPr>
        <w:t>的风险评级由风险评估和等级划分的相关部门进行综合评定，审核确定的风险等级与基金管理人评级进行比对，以两者中风险较高的评级为准。具体风险等级划分方法详见本公司官网披露的《基金产品或服务风险等级划分方法及其说明》。</w:t>
      </w:r>
    </w:p>
    <w:p>
      <w:pPr>
        <w:pStyle w:val="2"/>
        <w:widowControl/>
        <w:spacing w:beforeAutospacing="0" w:after="240" w:afterAutospacing="0"/>
        <w:ind w:firstLine="380"/>
        <w:rPr>
          <w:rFonts w:hint="default" w:ascii="微软雅黑" w:hAnsi="微软雅黑" w:eastAsia="微软雅黑" w:cs="微软雅黑"/>
          <w:b w:val="0"/>
          <w:bCs w:val="0"/>
          <w:color w:val="4D4D4D"/>
          <w:kern w:val="0"/>
          <w:sz w:val="19"/>
          <w:szCs w:val="19"/>
          <w:shd w:val="clear" w:color="auto" w:fill="FFFFFF"/>
          <w:lang w:bidi="ar"/>
        </w:rPr>
      </w:pPr>
      <w:r>
        <w:rPr>
          <w:rFonts w:ascii="微软雅黑" w:hAnsi="微软雅黑" w:eastAsia="微软雅黑" w:cs="微软雅黑"/>
          <w:b w:val="0"/>
          <w:bCs w:val="0"/>
          <w:color w:val="4D4D4D"/>
          <w:kern w:val="0"/>
          <w:sz w:val="19"/>
          <w:szCs w:val="19"/>
          <w:shd w:val="clear" w:color="auto" w:fill="FFFFFF"/>
          <w:lang w:bidi="ar"/>
        </w:rPr>
        <w:t>我公司参照基金公司最新发布的公募基金风险等级更新的通知，更新了旗下所销售基金的风险等级，具体见下表：</w:t>
      </w:r>
    </w:p>
    <w:tbl>
      <w:tblPr>
        <w:tblStyle w:val="5"/>
        <w:tblW w:w="8496" w:type="dxa"/>
        <w:tblInd w:w="0" w:type="dxa"/>
        <w:shd w:val="clear" w:color="auto" w:fill="F6F6F6"/>
        <w:tblLayout w:type="fixed"/>
        <w:tblCellMar>
          <w:top w:w="0" w:type="dxa"/>
          <w:left w:w="0" w:type="dxa"/>
          <w:bottom w:w="0" w:type="dxa"/>
          <w:right w:w="0" w:type="dxa"/>
        </w:tblCellMar>
      </w:tblPr>
      <w:tblGrid>
        <w:gridCol w:w="749"/>
        <w:gridCol w:w="1062"/>
        <w:gridCol w:w="1995"/>
        <w:gridCol w:w="1120"/>
        <w:gridCol w:w="1291"/>
        <w:gridCol w:w="2279"/>
      </w:tblGrid>
      <w:tr>
        <w:tblPrEx>
          <w:shd w:val="clear" w:color="auto" w:fill="F6F6F6"/>
          <w:tblCellMar>
            <w:top w:w="0" w:type="dxa"/>
            <w:left w:w="0" w:type="dxa"/>
            <w:bottom w:w="0" w:type="dxa"/>
            <w:right w:w="0" w:type="dxa"/>
          </w:tblCellMar>
        </w:tblPrEx>
        <w:trPr>
          <w:trHeight w:val="613" w:hRule="atLeast"/>
        </w:trPr>
        <w:tc>
          <w:tcPr>
            <w:tcW w:w="74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序号</w:t>
            </w:r>
          </w:p>
        </w:tc>
        <w:tc>
          <w:tcPr>
            <w:tcW w:w="1062"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基金代码</w:t>
            </w:r>
          </w:p>
        </w:tc>
        <w:tc>
          <w:tcPr>
            <w:tcW w:w="1995"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760" w:firstLineChars="400"/>
              <w:jc w:val="both"/>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基金简称</w:t>
            </w:r>
          </w:p>
        </w:tc>
        <w:tc>
          <w:tcPr>
            <w:tcW w:w="1120"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原评级</w:t>
            </w:r>
          </w:p>
        </w:tc>
        <w:tc>
          <w:tcPr>
            <w:tcW w:w="1291"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jc w:val="center"/>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调整后评级</w:t>
            </w:r>
          </w:p>
        </w:tc>
        <w:tc>
          <w:tcPr>
            <w:tcW w:w="227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jc w:val="center"/>
              <w:rPr>
                <w:rFonts w:ascii="微软雅黑" w:hAnsi="微软雅黑" w:eastAsia="微软雅黑" w:cs="微软雅黑"/>
                <w:b/>
                <w:bCs/>
                <w:color w:val="4D4D4D"/>
                <w:sz w:val="19"/>
                <w:szCs w:val="19"/>
                <w:shd w:val="clear" w:color="auto" w:fill="FFFFFF"/>
              </w:rPr>
            </w:pPr>
            <w:r>
              <w:rPr>
                <w:rFonts w:hint="eastAsia" w:ascii="微软雅黑" w:hAnsi="微软雅黑" w:eastAsia="微软雅黑" w:cs="微软雅黑"/>
                <w:b/>
                <w:bCs/>
                <w:color w:val="4D4D4D"/>
                <w:sz w:val="19"/>
                <w:szCs w:val="19"/>
                <w:shd w:val="clear" w:color="auto" w:fill="FFFFFF"/>
              </w:rPr>
              <w:t>调整后匹配的客户类型</w:t>
            </w:r>
          </w:p>
        </w:tc>
      </w:tr>
      <w:tr>
        <w:tblPrEx>
          <w:shd w:val="clear" w:color="auto" w:fill="F6F6F6"/>
          <w:tblCellMar>
            <w:top w:w="0" w:type="dxa"/>
            <w:left w:w="0" w:type="dxa"/>
            <w:bottom w:w="0" w:type="dxa"/>
            <w:right w:w="0" w:type="dxa"/>
          </w:tblCellMar>
        </w:tblPrEx>
        <w:trPr>
          <w:trHeight w:val="216" w:hRule="atLeast"/>
        </w:trPr>
        <w:tc>
          <w:tcPr>
            <w:tcW w:w="74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hint="eastAsia"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1</w:t>
            </w:r>
          </w:p>
        </w:tc>
        <w:tc>
          <w:tcPr>
            <w:tcW w:w="1062"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both"/>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005076</w:t>
            </w:r>
          </w:p>
        </w:tc>
        <w:tc>
          <w:tcPr>
            <w:tcW w:w="1995"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0" w:firstLineChars="0"/>
              <w:jc w:val="center"/>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创金合信优选回报混合</w:t>
            </w:r>
          </w:p>
        </w:tc>
        <w:tc>
          <w:tcPr>
            <w:tcW w:w="1120"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190" w:firstLineChars="100"/>
              <w:jc w:val="center"/>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R4</w:t>
            </w:r>
          </w:p>
        </w:tc>
        <w:tc>
          <w:tcPr>
            <w:tcW w:w="1291"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ind w:firstLine="570" w:firstLineChars="300"/>
              <w:jc w:val="both"/>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R3</w:t>
            </w:r>
          </w:p>
        </w:tc>
        <w:tc>
          <w:tcPr>
            <w:tcW w:w="2279" w:type="dxa"/>
            <w:tcBorders>
              <w:top w:val="single" w:color="auto" w:sz="4" w:space="0"/>
              <w:left w:val="single" w:color="auto" w:sz="4" w:space="0"/>
              <w:bottom w:val="single" w:color="auto" w:sz="4" w:space="0"/>
              <w:right w:val="single" w:color="auto" w:sz="4" w:space="0"/>
            </w:tcBorders>
            <w:shd w:val="clear" w:color="auto" w:fill="F6F6F6"/>
            <w:noWrap/>
            <w:tcMar>
              <w:top w:w="12" w:type="dxa"/>
              <w:left w:w="12" w:type="dxa"/>
              <w:right w:w="12" w:type="dxa"/>
            </w:tcMar>
            <w:vAlign w:val="center"/>
          </w:tcPr>
          <w:p>
            <w:pPr>
              <w:pStyle w:val="4"/>
              <w:widowControl/>
              <w:shd w:val="clear" w:color="auto" w:fill="FFFFFF"/>
              <w:spacing w:before="120" w:beforeAutospacing="0" w:after="120" w:afterAutospacing="0"/>
              <w:jc w:val="center"/>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lang w:val="en-US" w:eastAsia="zh-CN"/>
              </w:rPr>
              <w:t>C3、C4、C5及专业投资者</w:t>
            </w:r>
          </w:p>
        </w:tc>
      </w:tr>
    </w:tbl>
    <w:p>
      <w:pPr>
        <w:pStyle w:val="2"/>
        <w:widowControl/>
        <w:spacing w:beforeAutospacing="0" w:after="240" w:afterAutospacing="0"/>
        <w:ind w:firstLine="380"/>
        <w:rPr>
          <w:rFonts w:hint="default" w:ascii="微软雅黑" w:hAnsi="微软雅黑" w:eastAsia="微软雅黑" w:cs="微软雅黑"/>
          <w:b w:val="0"/>
          <w:bCs w:val="0"/>
          <w:color w:val="4D4D4D"/>
          <w:kern w:val="0"/>
          <w:sz w:val="19"/>
          <w:szCs w:val="19"/>
          <w:shd w:val="clear" w:color="auto" w:fill="FFFFFF"/>
          <w:lang w:bidi="ar"/>
        </w:rPr>
      </w:pPr>
    </w:p>
    <w:p>
      <w:pPr>
        <w:pStyle w:val="4"/>
        <w:widowControl/>
        <w:shd w:val="clear" w:color="auto" w:fill="FFFFFF"/>
        <w:spacing w:before="120" w:beforeAutospacing="0" w:after="120" w:afterAutospacing="0"/>
        <w:ind w:firstLine="380" w:firstLineChars="200"/>
        <w:jc w:val="both"/>
        <w:rPr>
          <w:rFonts w:ascii="微软雅黑" w:hAnsi="微软雅黑" w:eastAsia="微软雅黑" w:cs="微软雅黑"/>
          <w:color w:val="4D4D4D"/>
          <w:sz w:val="19"/>
          <w:szCs w:val="19"/>
        </w:rPr>
      </w:pPr>
      <w:r>
        <w:rPr>
          <w:rFonts w:hint="eastAsia" w:ascii="微软雅黑" w:hAnsi="微软雅黑" w:eastAsia="微软雅黑" w:cs="微软雅黑"/>
          <w:color w:val="4D4D4D"/>
          <w:sz w:val="19"/>
          <w:szCs w:val="19"/>
          <w:shd w:val="clear" w:color="auto" w:fill="FFFFFF"/>
        </w:rPr>
        <w:t>我公司在此提示，在购买基金后，所购买的基金产品风险等级可能因市场或运作情况等影响而发生调整，并可能超出投资者自身风险承受能力，从而可能产生不利后果和损失。您应及时关注基金风险等级的变化并谨慎决策，以确保自身的投资决策与风险承受能力相匹配。</w:t>
      </w:r>
    </w:p>
    <w:p>
      <w:pPr>
        <w:ind w:firstLine="380" w:firstLineChars="200"/>
        <w:rPr>
          <w:rFonts w:ascii="微软雅黑" w:hAnsi="微软雅黑" w:eastAsia="微软雅黑" w:cs="微软雅黑"/>
          <w:color w:val="4D4D4D"/>
          <w:sz w:val="19"/>
          <w:szCs w:val="19"/>
          <w:shd w:val="clear" w:color="auto" w:fill="FFFFFF"/>
        </w:rPr>
      </w:pPr>
      <w:r>
        <w:rPr>
          <w:rFonts w:hint="eastAsia" w:ascii="微软雅黑" w:hAnsi="微软雅黑" w:eastAsia="微软雅黑" w:cs="微软雅黑"/>
          <w:color w:val="4D4D4D"/>
          <w:kern w:val="0"/>
          <w:sz w:val="19"/>
          <w:szCs w:val="19"/>
          <w:shd w:val="clear" w:color="auto" w:fill="FFFFFF"/>
          <w:lang w:bidi="ar"/>
        </w:rPr>
        <w:t>如因基金产品风险等级发生变更，导致您所持有的基金风险等级与您的风险承受能力出现了不匹配情况，</w:t>
      </w:r>
      <w:r>
        <w:rPr>
          <w:rFonts w:hint="eastAsia" w:ascii="微软雅黑" w:hAnsi="微软雅黑" w:eastAsia="微软雅黑" w:cs="微软雅黑"/>
          <w:color w:val="4D4D4D"/>
          <w:sz w:val="19"/>
          <w:szCs w:val="19"/>
          <w:shd w:val="clear" w:color="auto" w:fill="FFFFFF"/>
        </w:rPr>
        <w:t>依据适当性匹配原则，我公司告知您目前的</w:t>
      </w:r>
      <w:r>
        <w:rPr>
          <w:rFonts w:hint="eastAsia" w:ascii="微软雅黑" w:hAnsi="微软雅黑" w:eastAsia="微软雅黑" w:cs="微软雅黑"/>
          <w:color w:val="4D4D4D"/>
          <w:kern w:val="0"/>
          <w:sz w:val="19"/>
          <w:szCs w:val="19"/>
          <w:shd w:val="clear" w:color="auto" w:fill="FFFFFF"/>
          <w:lang w:bidi="ar"/>
        </w:rPr>
        <w:t>风险承受能力不适合持续持有</w:t>
      </w:r>
      <w:r>
        <w:rPr>
          <w:rFonts w:hint="eastAsia" w:ascii="微软雅黑" w:hAnsi="微软雅黑" w:eastAsia="微软雅黑" w:cs="微软雅黑"/>
          <w:color w:val="4D4D4D"/>
          <w:sz w:val="19"/>
          <w:szCs w:val="19"/>
          <w:shd w:val="clear" w:color="auto" w:fill="FFFFFF"/>
        </w:rPr>
        <w:t>该产品或接受该服务。</w:t>
      </w:r>
    </w:p>
    <w:p>
      <w:pPr>
        <w:pStyle w:val="3"/>
        <w:widowControl/>
        <w:spacing w:beforeAutospacing="0" w:afterAutospacing="0"/>
        <w:ind w:firstLine="380" w:firstLineChars="200"/>
        <w:rPr>
          <w:rFonts w:hint="default" w:ascii="微软雅黑" w:hAnsi="微软雅黑" w:eastAsia="微软雅黑" w:cs="微软雅黑"/>
          <w:b w:val="0"/>
          <w:bCs w:val="0"/>
          <w:color w:val="4D4D4D"/>
          <w:sz w:val="19"/>
          <w:szCs w:val="19"/>
          <w:shd w:val="clear" w:color="auto" w:fill="FFFFFF"/>
        </w:rPr>
      </w:pPr>
      <w:r>
        <w:rPr>
          <w:rFonts w:ascii="微软雅黑" w:hAnsi="微软雅黑" w:eastAsia="微软雅黑" w:cs="微软雅黑"/>
          <w:b w:val="0"/>
          <w:bCs w:val="0"/>
          <w:color w:val="4D4D4D"/>
          <w:sz w:val="19"/>
          <w:szCs w:val="19"/>
          <w:shd w:val="clear" w:color="auto" w:fill="FFFFFF"/>
        </w:rPr>
        <w:t>鉴于您不属于《期货经营机构投资者适当性管理实施指引（试行）》规定的风险承受能力最低类别的投资者，如您坚持投资该产品或接受该服务，就此，我公司特向您进行如下风险警示：</w:t>
      </w:r>
    </w:p>
    <w:p>
      <w:pPr>
        <w:pStyle w:val="3"/>
        <w:widowControl/>
        <w:spacing w:beforeAutospacing="0" w:afterAutospacing="0"/>
        <w:ind w:firstLine="380" w:firstLineChars="200"/>
        <w:rPr>
          <w:rFonts w:hint="default" w:ascii="微软雅黑" w:hAnsi="微软雅黑" w:eastAsia="微软雅黑" w:cs="微软雅黑"/>
          <w:b w:val="0"/>
          <w:bCs w:val="0"/>
          <w:color w:val="4D4D4D"/>
          <w:sz w:val="19"/>
          <w:szCs w:val="19"/>
          <w:shd w:val="clear" w:color="auto" w:fill="FFFFFF"/>
        </w:rPr>
      </w:pPr>
      <w:r>
        <w:rPr>
          <w:rFonts w:ascii="微软雅黑" w:hAnsi="微软雅黑" w:eastAsia="微软雅黑" w:cs="微软雅黑"/>
          <w:b w:val="0"/>
          <w:bCs w:val="0"/>
          <w:color w:val="4D4D4D"/>
          <w:sz w:val="19"/>
          <w:szCs w:val="19"/>
          <w:shd w:val="clear" w:color="auto" w:fill="FFFFFF"/>
        </w:rPr>
        <w:t>您拟投资的产品或接受的服务风险等级超出您的风险承受能力，其存在本金损失可能、波动性较大、流动性变现能力较差、结构复杂、不易估值等风险特征，可能会导致投资亏损超出您的预计范围、投资本金亏损等情况出现。建议您审慎考虑，自行做出投资决定，由此产生的后果将由您自行承担。</w:t>
      </w:r>
    </w:p>
    <w:p>
      <w:pPr>
        <w:pStyle w:val="3"/>
        <w:widowControl/>
        <w:spacing w:beforeAutospacing="0" w:afterAutospacing="0"/>
        <w:ind w:firstLine="380" w:firstLineChars="200"/>
        <w:rPr>
          <w:rFonts w:hint="default" w:ascii="微软雅黑" w:hAnsi="微软雅黑" w:eastAsia="微软雅黑" w:cs="微软雅黑"/>
          <w:b w:val="0"/>
          <w:bCs w:val="0"/>
          <w:color w:val="4D4D4D"/>
          <w:sz w:val="19"/>
          <w:szCs w:val="19"/>
          <w:shd w:val="clear" w:color="auto" w:fill="FFFFFF"/>
        </w:rPr>
      </w:pPr>
      <w:r>
        <w:rPr>
          <w:rFonts w:ascii="微软雅黑" w:hAnsi="微软雅黑" w:eastAsia="微软雅黑" w:cs="微软雅黑"/>
          <w:b w:val="0"/>
          <w:bCs w:val="0"/>
          <w:color w:val="4D4D4D"/>
          <w:sz w:val="19"/>
          <w:szCs w:val="19"/>
          <w:shd w:val="clear" w:color="auto" w:fill="FFFFFF"/>
        </w:rPr>
        <w:t>您的适当性匹配意见不代表您符合相应准入条件，不表明本公司对产品或服务的风险和收益做出实质性判断或保证。</w:t>
      </w:r>
    </w:p>
    <w:p>
      <w:pPr>
        <w:pStyle w:val="3"/>
        <w:widowControl/>
        <w:spacing w:beforeAutospacing="0" w:afterAutospacing="0"/>
        <w:ind w:firstLine="380" w:firstLineChars="200"/>
        <w:rPr>
          <w:rFonts w:hint="default" w:ascii="微软雅黑" w:hAnsi="微软雅黑" w:eastAsia="微软雅黑" w:cs="微软雅黑"/>
          <w:b w:val="0"/>
          <w:bCs w:val="0"/>
          <w:color w:val="4D4D4D"/>
          <w:sz w:val="19"/>
          <w:szCs w:val="19"/>
          <w:shd w:val="clear" w:color="auto" w:fill="FFFFFF"/>
        </w:rPr>
      </w:pPr>
      <w:r>
        <w:rPr>
          <w:rFonts w:ascii="微软雅黑" w:hAnsi="微软雅黑" w:eastAsia="微软雅黑" w:cs="微软雅黑"/>
          <w:b w:val="0"/>
          <w:bCs w:val="0"/>
          <w:color w:val="4D4D4D"/>
          <w:sz w:val="19"/>
          <w:szCs w:val="19"/>
          <w:shd w:val="clear" w:color="auto" w:fill="FFFFFF"/>
        </w:rPr>
        <w:t>本公司履行投资者适当性职责不能取代您的投资判断，不会降低产品或服务的固有风险，也不会影响您依法应当承担的投资风险、履约责任以及费用。</w:t>
      </w:r>
    </w:p>
    <w:p>
      <w:pPr>
        <w:pStyle w:val="3"/>
        <w:widowControl/>
        <w:spacing w:beforeAutospacing="0" w:afterAutospacing="0"/>
        <w:ind w:firstLine="380" w:firstLineChars="200"/>
        <w:rPr>
          <w:rFonts w:hint="default"/>
        </w:rPr>
      </w:pPr>
      <w:r>
        <w:rPr>
          <w:rFonts w:ascii="微软雅黑" w:hAnsi="微软雅黑" w:eastAsia="微软雅黑" w:cs="微软雅黑"/>
          <w:b w:val="0"/>
          <w:bCs w:val="0"/>
          <w:color w:val="4D4D4D"/>
          <w:sz w:val="19"/>
          <w:szCs w:val="19"/>
          <w:shd w:val="clear" w:color="auto" w:fill="FFFFFF"/>
        </w:rPr>
        <w:t>请您审慎考察金融产品或服务的特征及风险，进行充分风险评估，并综合考虑自身风险承受能力与本公司的适当性匹配意见，自行决定是否进行持仓调整。</w:t>
      </w:r>
    </w:p>
    <w:p>
      <w:pPr>
        <w:pStyle w:val="4"/>
        <w:widowControl/>
        <w:shd w:val="clear" w:color="auto" w:fill="FFFFFF"/>
        <w:spacing w:before="120" w:beforeAutospacing="0" w:after="120" w:afterAutospacing="0"/>
        <w:jc w:val="both"/>
        <w:rPr>
          <w:rFonts w:ascii="微软雅黑" w:hAnsi="微软雅黑" w:eastAsia="微软雅黑" w:cs="微软雅黑"/>
          <w:color w:val="4D4D4D"/>
          <w:sz w:val="19"/>
          <w:szCs w:val="19"/>
        </w:rPr>
      </w:pPr>
      <w:r>
        <w:rPr>
          <w:rFonts w:hint="eastAsia" w:ascii="微软雅黑" w:hAnsi="微软雅黑" w:eastAsia="微软雅黑" w:cs="微软雅黑"/>
          <w:color w:val="4D4D4D"/>
          <w:sz w:val="19"/>
          <w:szCs w:val="19"/>
          <w:shd w:val="clear" w:color="auto" w:fill="FFFFFF"/>
        </w:rPr>
        <w:t>　 　　</w:t>
      </w:r>
    </w:p>
    <w:p>
      <w:pPr>
        <w:pStyle w:val="4"/>
        <w:widowControl/>
        <w:shd w:val="clear" w:color="auto" w:fill="FFFFFF"/>
        <w:spacing w:before="120" w:beforeAutospacing="0" w:after="120" w:afterAutospacing="0"/>
        <w:jc w:val="both"/>
        <w:rPr>
          <w:rFonts w:ascii="微软雅黑" w:hAnsi="微软雅黑" w:eastAsia="微软雅黑" w:cs="微软雅黑"/>
          <w:color w:val="4D4D4D"/>
          <w:sz w:val="19"/>
          <w:szCs w:val="19"/>
          <w:shd w:val="clear" w:color="auto" w:fill="FFFFFF"/>
        </w:rPr>
      </w:pPr>
      <w:r>
        <w:rPr>
          <w:rFonts w:hint="eastAsia" w:ascii="微软雅黑" w:hAnsi="微软雅黑" w:eastAsia="微软雅黑" w:cs="微软雅黑"/>
          <w:color w:val="4D4D4D"/>
          <w:sz w:val="19"/>
          <w:szCs w:val="19"/>
          <w:shd w:val="clear" w:color="auto" w:fill="FFFFFF"/>
        </w:rPr>
        <w:t>　　                                                                特此通知。</w:t>
      </w:r>
      <w:bookmarkStart w:id="1" w:name="_GoBack"/>
      <w:bookmarkEnd w:id="1"/>
    </w:p>
    <w:p>
      <w:pPr>
        <w:pStyle w:val="4"/>
        <w:widowControl/>
        <w:shd w:val="clear" w:color="auto" w:fill="FFFFFF"/>
        <w:spacing w:before="120" w:beforeAutospacing="0" w:after="120" w:afterAutospacing="0"/>
        <w:jc w:val="both"/>
        <w:rPr>
          <w:rFonts w:hint="default" w:ascii="微软雅黑" w:hAnsi="微软雅黑" w:eastAsia="微软雅黑" w:cs="微软雅黑"/>
          <w:color w:val="4D4D4D"/>
          <w:sz w:val="19"/>
          <w:szCs w:val="19"/>
          <w:shd w:val="clear" w:color="auto" w:fill="FFFFFF"/>
          <w:lang w:val="en-US" w:eastAsia="zh-CN"/>
        </w:rPr>
      </w:pPr>
      <w:r>
        <w:rPr>
          <w:rFonts w:hint="eastAsia" w:ascii="微软雅黑" w:hAnsi="微软雅黑" w:eastAsia="微软雅黑" w:cs="微软雅黑"/>
          <w:color w:val="4D4D4D"/>
          <w:sz w:val="19"/>
          <w:szCs w:val="19"/>
          <w:shd w:val="clear" w:color="auto" w:fill="FFFFFF"/>
        </w:rPr>
        <w:t xml:space="preserve">                                                                日期：</w:t>
      </w:r>
      <w:r>
        <w:rPr>
          <w:rFonts w:hint="eastAsia" w:ascii="微软雅黑" w:hAnsi="微软雅黑" w:eastAsia="微软雅黑" w:cs="微软雅黑"/>
          <w:color w:val="4D4D4D"/>
          <w:sz w:val="19"/>
          <w:szCs w:val="19"/>
          <w:shd w:val="clear" w:color="auto" w:fill="FFFFFF"/>
          <w:lang w:val="en-US" w:eastAsia="zh-CN"/>
        </w:rPr>
        <w:t>2024年4月3日</w:t>
      </w:r>
    </w:p>
    <w:p>
      <w:pPr>
        <w:spacing w:line="240" w:lineRule="atLeast"/>
        <w:jc w:val="center"/>
        <w:outlineLvl w:val="1"/>
        <w:rPr>
          <w:b/>
          <w:sz w:val="30"/>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kNmZlMzg4YTM5ZTBhODBkZDZjZjc2M2UxNDIyMDEifQ=="/>
  </w:docVars>
  <w:rsids>
    <w:rsidRoot w:val="155F784A"/>
    <w:rsid w:val="155F7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2024-05-28T01:15:00Z</dcterms:created>
  <dc:creator>A</dc:creator>
  <cp:lastModifiedBy>A</cp:lastModifiedBy>
  <dcterms:modified xsi:type="dcterms:W3CDTF">2024-05-28T01:19:09Z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6751F212668D4D5CADFFE7DAFBE4453D_11</vt:lpwstr>
  </property>
</Properties>
</file>